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6FD3C" w14:textId="77777777" w:rsidR="008C4AD2" w:rsidRPr="002A7A8A" w:rsidRDefault="008C4AD2" w:rsidP="008C4AD2">
      <w:pPr>
        <w:pStyle w:val="Title"/>
        <w:spacing w:after="0" w:line="276" w:lineRule="auto"/>
        <w:jc w:val="center"/>
        <w:rPr>
          <w:b/>
          <w:bCs w:val="0"/>
          <w:color w:val="auto"/>
          <w:sz w:val="32"/>
          <w:u w:val="single"/>
          <w:lang w:val="bg-BG"/>
        </w:rPr>
      </w:pPr>
      <w:r w:rsidRPr="002A7A8A">
        <w:rPr>
          <w:rStyle w:val="Strong"/>
          <w:noProof/>
          <w:u w:val="single"/>
          <w:lang w:val="bg-BG" w:eastAsia="bg-BG"/>
        </w:rPr>
        <w:drawing>
          <wp:inline distT="0" distB="0" distL="0" distR="0" wp14:anchorId="6A687224" wp14:editId="43EFBE7F">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275" cy="561975"/>
                    </a:xfrm>
                    <a:prstGeom prst="rect">
                      <a:avLst/>
                    </a:prstGeom>
                  </pic:spPr>
                </pic:pic>
              </a:graphicData>
            </a:graphic>
          </wp:inline>
        </w:drawing>
      </w:r>
      <w:r w:rsidRPr="002A7A8A">
        <w:rPr>
          <w:b/>
          <w:bCs w:val="0"/>
          <w:color w:val="auto"/>
          <w:sz w:val="32"/>
          <w:u w:val="single"/>
          <w:lang w:val="bg-BG"/>
        </w:rPr>
        <w:t xml:space="preserve">  КОМИСИЯ ЗА ЗАЩИТА НА КОНКУРЕНЦИЯТА</w:t>
      </w:r>
    </w:p>
    <w:p w14:paraId="5E4DE281" w14:textId="77777777" w:rsidR="001257B1" w:rsidRDefault="001257B1" w:rsidP="001257B1">
      <w:pPr>
        <w:pStyle w:val="Title"/>
        <w:spacing w:after="0" w:line="276" w:lineRule="auto"/>
        <w:jc w:val="center"/>
        <w:rPr>
          <w:b/>
          <w:bCs w:val="0"/>
          <w:color w:val="auto"/>
          <w:sz w:val="32"/>
        </w:rPr>
      </w:pPr>
    </w:p>
    <w:p w14:paraId="076A46B3" w14:textId="693619C3" w:rsidR="009D2828" w:rsidRDefault="009D2828" w:rsidP="0089042D">
      <w:pPr>
        <w:pStyle w:val="Title"/>
        <w:spacing w:after="0" w:line="276" w:lineRule="auto"/>
        <w:rPr>
          <w:b/>
          <w:bCs w:val="0"/>
          <w:color w:val="auto"/>
          <w:sz w:val="32"/>
        </w:rPr>
      </w:pPr>
    </w:p>
    <w:p w14:paraId="65091A6F" w14:textId="77777777" w:rsidR="00132E43" w:rsidRDefault="00132E43" w:rsidP="00132E43">
      <w:pPr>
        <w:pStyle w:val="Title"/>
        <w:spacing w:after="0" w:line="276" w:lineRule="auto"/>
        <w:jc w:val="center"/>
        <w:rPr>
          <w:b/>
          <w:bCs w:val="0"/>
          <w:color w:val="auto"/>
          <w:sz w:val="32"/>
        </w:rPr>
      </w:pPr>
    </w:p>
    <w:p w14:paraId="2947F283" w14:textId="77777777" w:rsidR="008C4AD2" w:rsidRDefault="001257B1" w:rsidP="008C4AD2">
      <w:pPr>
        <w:pStyle w:val="Title"/>
        <w:spacing w:after="0" w:line="276" w:lineRule="auto"/>
        <w:jc w:val="center"/>
        <w:rPr>
          <w:b/>
          <w:bCs w:val="0"/>
          <w:color w:val="auto"/>
          <w:sz w:val="32"/>
        </w:rPr>
      </w:pPr>
      <w:r w:rsidRPr="001257B1">
        <w:rPr>
          <w:b/>
          <w:bCs w:val="0"/>
          <w:color w:val="auto"/>
          <w:sz w:val="32"/>
        </w:rPr>
        <w:t xml:space="preserve">ОТЧЕТ </w:t>
      </w:r>
    </w:p>
    <w:p w14:paraId="482F4B6E" w14:textId="77777777" w:rsidR="001257B1" w:rsidRPr="008C4AD2" w:rsidRDefault="001257B1" w:rsidP="008C4AD2">
      <w:pPr>
        <w:pStyle w:val="Title"/>
        <w:spacing w:after="0" w:line="276" w:lineRule="auto"/>
        <w:jc w:val="center"/>
        <w:rPr>
          <w:b/>
          <w:bCs w:val="0"/>
          <w:color w:val="auto"/>
          <w:sz w:val="32"/>
          <w:lang w:val="bg-BG"/>
        </w:rPr>
      </w:pPr>
      <w:r w:rsidRPr="001257B1">
        <w:rPr>
          <w:b/>
          <w:bCs w:val="0"/>
          <w:color w:val="auto"/>
          <w:sz w:val="32"/>
        </w:rPr>
        <w:t>ЗА ИЗПЪЛНЕНИЕТО НА</w:t>
      </w:r>
      <w:r w:rsidRPr="001257B1">
        <w:rPr>
          <w:b/>
          <w:bCs w:val="0"/>
          <w:color w:val="auto"/>
          <w:sz w:val="32"/>
          <w:lang w:val="en-US"/>
        </w:rPr>
        <w:t xml:space="preserve"> </w:t>
      </w:r>
      <w:r w:rsidRPr="001257B1">
        <w:rPr>
          <w:b/>
          <w:bCs w:val="0"/>
          <w:color w:val="auto"/>
          <w:sz w:val="32"/>
        </w:rPr>
        <w:t>ПРОГРАМ</w:t>
      </w:r>
      <w:r w:rsidRPr="001257B1">
        <w:rPr>
          <w:b/>
          <w:bCs w:val="0"/>
          <w:color w:val="auto"/>
          <w:sz w:val="32"/>
          <w:lang w:val="bg-BG"/>
        </w:rPr>
        <w:t xml:space="preserve">НИЯ БЮДЖЕТ </w:t>
      </w:r>
      <w:r w:rsidR="008C4AD2">
        <w:rPr>
          <w:b/>
          <w:bCs w:val="0"/>
          <w:color w:val="auto"/>
          <w:sz w:val="32"/>
          <w:lang w:val="bg-BG"/>
        </w:rPr>
        <w:t xml:space="preserve"> НА </w:t>
      </w:r>
      <w:r w:rsidRPr="001257B1">
        <w:rPr>
          <w:b/>
          <w:bCs w:val="0"/>
          <w:color w:val="auto"/>
          <w:sz w:val="32"/>
          <w:lang w:val="bg-BG"/>
        </w:rPr>
        <w:t xml:space="preserve">КОМИСИЯ ЗА ЗАЩИТА НА КОНКУРЕНЦИЯТА </w:t>
      </w:r>
    </w:p>
    <w:p w14:paraId="596D8B82" w14:textId="70A7A6F0" w:rsidR="001257B1" w:rsidRPr="001257B1" w:rsidRDefault="001257B1" w:rsidP="001257B1">
      <w:pPr>
        <w:pStyle w:val="Title"/>
        <w:spacing w:after="0" w:line="276" w:lineRule="auto"/>
        <w:jc w:val="center"/>
        <w:rPr>
          <w:b/>
          <w:bCs w:val="0"/>
          <w:color w:val="auto"/>
          <w:sz w:val="32"/>
        </w:rPr>
      </w:pPr>
      <w:r w:rsidRPr="001257B1">
        <w:rPr>
          <w:b/>
          <w:bCs w:val="0"/>
          <w:color w:val="auto"/>
          <w:sz w:val="32"/>
        </w:rPr>
        <w:t xml:space="preserve"> КЪМ 3</w:t>
      </w:r>
      <w:r w:rsidR="005323E4">
        <w:rPr>
          <w:b/>
          <w:bCs w:val="0"/>
          <w:color w:val="auto"/>
          <w:sz w:val="32"/>
          <w:lang w:val="en-US"/>
        </w:rPr>
        <w:t>0</w:t>
      </w:r>
      <w:r w:rsidRPr="001257B1">
        <w:rPr>
          <w:b/>
          <w:bCs w:val="0"/>
          <w:color w:val="auto"/>
          <w:sz w:val="32"/>
        </w:rPr>
        <w:t>.</w:t>
      </w:r>
      <w:r w:rsidR="005323E4">
        <w:rPr>
          <w:b/>
          <w:bCs w:val="0"/>
          <w:color w:val="auto"/>
          <w:sz w:val="32"/>
          <w:lang w:val="en-US"/>
        </w:rPr>
        <w:t>06</w:t>
      </w:r>
      <w:r w:rsidRPr="001257B1">
        <w:rPr>
          <w:b/>
          <w:bCs w:val="0"/>
          <w:color w:val="auto"/>
          <w:sz w:val="32"/>
        </w:rPr>
        <w:t>.20</w:t>
      </w:r>
      <w:r w:rsidR="005323E4">
        <w:rPr>
          <w:b/>
          <w:bCs w:val="0"/>
          <w:color w:val="auto"/>
          <w:sz w:val="32"/>
          <w:lang w:val="bg-BG"/>
        </w:rPr>
        <w:t>21</w:t>
      </w:r>
      <w:r w:rsidRPr="001257B1">
        <w:rPr>
          <w:b/>
          <w:bCs w:val="0"/>
          <w:color w:val="auto"/>
          <w:sz w:val="32"/>
        </w:rPr>
        <w:t xml:space="preserve"> г.</w:t>
      </w:r>
    </w:p>
    <w:p w14:paraId="5A8DDE2E" w14:textId="77777777" w:rsidR="001257B1" w:rsidRDefault="001257B1">
      <w:pPr>
        <w:rPr>
          <w:sz w:val="32"/>
          <w:szCs w:val="32"/>
        </w:rPr>
      </w:pPr>
    </w:p>
    <w:p w14:paraId="0F917064" w14:textId="77777777" w:rsidR="00BC3069" w:rsidRPr="00177A51" w:rsidRDefault="00BC3069" w:rsidP="00BC3069">
      <w:pPr>
        <w:pStyle w:val="BodyText"/>
        <w:widowControl w:val="0"/>
        <w:tabs>
          <w:tab w:val="left" w:pos="8931"/>
          <w:tab w:val="left" w:pos="9214"/>
          <w:tab w:val="left" w:pos="9356"/>
        </w:tabs>
        <w:spacing w:line="276" w:lineRule="auto"/>
        <w:rPr>
          <w:b/>
          <w:sz w:val="24"/>
          <w:lang w:val="bg-BG"/>
        </w:rPr>
      </w:pPr>
      <w:r w:rsidRPr="00177A51">
        <w:rPr>
          <w:b/>
          <w:sz w:val="24"/>
          <w:lang w:val="bg-BG"/>
        </w:rPr>
        <w:t>І</w:t>
      </w:r>
      <w:r w:rsidR="00177A51" w:rsidRPr="00177A51">
        <w:rPr>
          <w:b/>
          <w:sz w:val="24"/>
          <w:lang w:val="bg-BG"/>
        </w:rPr>
        <w:t xml:space="preserve">. </w:t>
      </w:r>
      <w:r w:rsidR="00645346" w:rsidRPr="00177A51">
        <w:rPr>
          <w:b/>
          <w:sz w:val="24"/>
          <w:lang w:val="bg-BG"/>
        </w:rPr>
        <w:t>ОБЩИ ПОЛОЖЕНИЯ</w:t>
      </w:r>
    </w:p>
    <w:p w14:paraId="59917276" w14:textId="77777777" w:rsidR="00177A51" w:rsidRPr="00BC3069" w:rsidRDefault="00177A51" w:rsidP="00BC3069">
      <w:pPr>
        <w:pStyle w:val="BodyText"/>
        <w:widowControl w:val="0"/>
        <w:tabs>
          <w:tab w:val="left" w:pos="8931"/>
          <w:tab w:val="left" w:pos="9214"/>
          <w:tab w:val="left" w:pos="9356"/>
        </w:tabs>
        <w:spacing w:line="276" w:lineRule="auto"/>
        <w:rPr>
          <w:sz w:val="24"/>
        </w:rPr>
      </w:pPr>
    </w:p>
    <w:p w14:paraId="3BE0F34E" w14:textId="77777777" w:rsidR="008A5A19" w:rsidRPr="00177A51" w:rsidRDefault="008A5A19" w:rsidP="00EA24B5">
      <w:pPr>
        <w:spacing w:after="0" w:line="276" w:lineRule="auto"/>
        <w:ind w:firstLine="709"/>
        <w:jc w:val="both"/>
        <w:rPr>
          <w:rFonts w:ascii="Times New Roman" w:hAnsi="Times New Roman" w:cs="Times New Roman"/>
          <w:sz w:val="24"/>
          <w:szCs w:val="24"/>
        </w:rPr>
      </w:pPr>
      <w:r w:rsidRPr="00177A51">
        <w:rPr>
          <w:rFonts w:ascii="Times New Roman" w:hAnsi="Times New Roman" w:cs="Times New Roman"/>
          <w:sz w:val="24"/>
          <w:szCs w:val="24"/>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14:paraId="3FE2DA64" w14:textId="77777777" w:rsidR="00177A51" w:rsidRPr="00177A51" w:rsidRDefault="00177A51" w:rsidP="00EA24B5">
      <w:pPr>
        <w:spacing w:after="0" w:line="276" w:lineRule="auto"/>
        <w:ind w:firstLine="709"/>
        <w:jc w:val="both"/>
        <w:rPr>
          <w:rFonts w:ascii="Times New Roman" w:hAnsi="Times New Roman" w:cs="Times New Roman"/>
          <w:sz w:val="24"/>
          <w:szCs w:val="24"/>
        </w:rPr>
      </w:pPr>
      <w:r w:rsidRPr="00177A51">
        <w:rPr>
          <w:rFonts w:ascii="Times New Roman" w:hAnsi="Times New Roman" w:cs="Times New Roman"/>
          <w:sz w:val="24"/>
          <w:szCs w:val="24"/>
        </w:rPr>
        <w:t xml:space="preserve">Основната роля на Комисия за защита на конкуренцията (Комисията, КЗК) е да предотвратява прилагането на антиконкурентни практики. 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14:paraId="7CE10D1C" w14:textId="77777777" w:rsidR="00177A51" w:rsidRPr="00177A51" w:rsidRDefault="00177A51" w:rsidP="00EA24B5">
      <w:pPr>
        <w:spacing w:after="0" w:line="276" w:lineRule="auto"/>
        <w:ind w:firstLine="709"/>
        <w:jc w:val="both"/>
        <w:rPr>
          <w:rFonts w:ascii="Times New Roman" w:hAnsi="Times New Roman" w:cs="Times New Roman"/>
          <w:sz w:val="24"/>
          <w:szCs w:val="24"/>
        </w:rPr>
      </w:pPr>
      <w:r w:rsidRPr="00177A51">
        <w:rPr>
          <w:rFonts w:ascii="Times New Roman" w:hAnsi="Times New Roman" w:cs="Times New Roman"/>
          <w:sz w:val="24"/>
          <w:szCs w:val="24"/>
        </w:rPr>
        <w:t xml:space="preserve">Като независим държавен орган на КЗК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14:paraId="60C0E2C1" w14:textId="77777777" w:rsidR="00177A51" w:rsidRPr="00177A51" w:rsidRDefault="00177A51" w:rsidP="00EA24B5">
      <w:pPr>
        <w:spacing w:after="0" w:line="276" w:lineRule="auto"/>
        <w:ind w:firstLine="709"/>
        <w:jc w:val="both"/>
        <w:rPr>
          <w:rFonts w:ascii="Times New Roman" w:hAnsi="Times New Roman" w:cs="Times New Roman"/>
          <w:sz w:val="24"/>
          <w:szCs w:val="24"/>
        </w:rPr>
      </w:pPr>
      <w:r w:rsidRPr="00177A51">
        <w:rPr>
          <w:rFonts w:ascii="Times New Roman" w:hAnsi="Times New Roman" w:cs="Times New Roman"/>
          <w:sz w:val="24"/>
          <w:szCs w:val="24"/>
        </w:rPr>
        <w:t>Пълноправното членство на България в ЕС допълнително изисква Комисия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14:paraId="62C8026B" w14:textId="77777777" w:rsidR="008A5A19" w:rsidRPr="00177A51" w:rsidRDefault="008A5A19" w:rsidP="000E555E">
      <w:pPr>
        <w:spacing w:after="0" w:line="276" w:lineRule="auto"/>
        <w:ind w:firstLine="709"/>
        <w:jc w:val="both"/>
        <w:rPr>
          <w:rFonts w:ascii="Times New Roman" w:hAnsi="Times New Roman" w:cs="Times New Roman"/>
          <w:sz w:val="24"/>
          <w:szCs w:val="24"/>
        </w:rPr>
      </w:pPr>
      <w:r w:rsidRPr="00177A51">
        <w:rPr>
          <w:rFonts w:ascii="Times New Roman" w:hAnsi="Times New Roman" w:cs="Times New Roman"/>
          <w:sz w:val="24"/>
          <w:szCs w:val="24"/>
        </w:rPr>
        <w:t xml:space="preserve">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и нелоялна конкуренция. Тя осъществява и контрол върху концентрациите между предприятията, като може да разреши, включително и под условие, или да забрани осъществяването й. Част от функциите на Комисията са и изготвянето на </w:t>
      </w:r>
      <w:r w:rsidRPr="00177A51">
        <w:rPr>
          <w:rFonts w:ascii="Times New Roman" w:hAnsi="Times New Roman" w:cs="Times New Roman"/>
          <w:sz w:val="24"/>
          <w:szCs w:val="24"/>
        </w:rPr>
        <w:lastRenderedPageBreak/>
        <w:t>секторни анализи и осъществяването на застъпничество за конкуренцията, като предлага на компетентните органи на изпълнителната власт и на местното самоуправление да отменят или изменят нормативни актове, издадени в нарушение на правилата на конкуренцията. Проектите на нормативни актове, които предстои да бъдат приети по съответния ред, са обект на анализ за съответствието им със ЗЗК, за което Комисията приема становища.</w:t>
      </w:r>
    </w:p>
    <w:p w14:paraId="2E11A9D3" w14:textId="77777777" w:rsidR="008A5A19" w:rsidRPr="00177A51" w:rsidRDefault="008A5A19" w:rsidP="00EA24B5">
      <w:pPr>
        <w:spacing w:after="0" w:line="276" w:lineRule="auto"/>
        <w:ind w:firstLine="709"/>
        <w:jc w:val="both"/>
        <w:rPr>
          <w:rFonts w:ascii="Times New Roman" w:hAnsi="Times New Roman" w:cs="Times New Roman"/>
          <w:sz w:val="24"/>
          <w:szCs w:val="24"/>
        </w:rPr>
      </w:pPr>
      <w:r w:rsidRPr="00177A51">
        <w:rPr>
          <w:rFonts w:ascii="Times New Roman" w:hAnsi="Times New Roman" w:cs="Times New Roman"/>
          <w:sz w:val="24"/>
          <w:szCs w:val="24"/>
        </w:rPr>
        <w:t xml:space="preserve">КЗК е органът, пред който се обжалват относно тяхната законосъобразност и всички актове, действия или бездействия на възложители и концеденти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w:t>
      </w:r>
      <w:r w:rsidRPr="006F74F4">
        <w:rPr>
          <w:rFonts w:ascii="Times New Roman" w:hAnsi="Times New Roman" w:cs="Times New Roman"/>
          <w:sz w:val="24"/>
          <w:szCs w:val="24"/>
        </w:rPr>
        <w:t xml:space="preserve">в законите </w:t>
      </w:r>
      <w:r w:rsidRPr="00177A51">
        <w:rPr>
          <w:rFonts w:ascii="Times New Roman" w:hAnsi="Times New Roman" w:cs="Times New Roman"/>
          <w:sz w:val="24"/>
          <w:szCs w:val="24"/>
        </w:rPr>
        <w:t>условия, както и да наложи имуществени санкции и глоби в предвидените от закона случаи.</w:t>
      </w:r>
    </w:p>
    <w:p w14:paraId="5BC7429A" w14:textId="067DD6AE" w:rsidR="00991909" w:rsidRDefault="008A5A19" w:rsidP="00BD08DE">
      <w:pPr>
        <w:spacing w:after="0" w:line="276" w:lineRule="auto"/>
        <w:ind w:firstLine="709"/>
        <w:jc w:val="both"/>
        <w:rPr>
          <w:rFonts w:ascii="Times New Roman" w:hAnsi="Times New Roman" w:cs="Times New Roman"/>
          <w:sz w:val="24"/>
          <w:szCs w:val="24"/>
        </w:rPr>
      </w:pPr>
      <w:r w:rsidRPr="00177A51">
        <w:rPr>
          <w:rFonts w:ascii="Times New Roman" w:hAnsi="Times New Roman" w:cs="Times New Roman"/>
          <w:sz w:val="24"/>
          <w:szCs w:val="24"/>
        </w:rPr>
        <w:t xml:space="preserve">Чрез отговорния подход при осъществяването на своята дейност Комисията доказва, че има необходимия капацитет и опит да разрешава проблемите при функционирането на  пазарната икономика. </w:t>
      </w:r>
    </w:p>
    <w:p w14:paraId="27163E0E" w14:textId="77777777" w:rsidR="00991909" w:rsidRPr="00CC3710" w:rsidRDefault="00991909" w:rsidP="008A5A19">
      <w:pPr>
        <w:ind w:firstLine="709"/>
        <w:jc w:val="both"/>
        <w:rPr>
          <w:rFonts w:ascii="Times New Roman" w:hAnsi="Times New Roman" w:cs="Times New Roman"/>
          <w:color w:val="000000" w:themeColor="text1"/>
          <w:sz w:val="24"/>
          <w:szCs w:val="24"/>
        </w:rPr>
      </w:pPr>
    </w:p>
    <w:p w14:paraId="3AC30B52" w14:textId="77777777" w:rsidR="00451EC5" w:rsidRPr="00CC3710" w:rsidRDefault="00BC3069" w:rsidP="00451EC5">
      <w:pPr>
        <w:pStyle w:val="BodyText"/>
        <w:widowControl w:val="0"/>
        <w:spacing w:line="276" w:lineRule="auto"/>
        <w:rPr>
          <w:b/>
          <w:color w:val="000000" w:themeColor="text1"/>
          <w:sz w:val="24"/>
          <w:lang w:val="bg-BG"/>
        </w:rPr>
      </w:pPr>
      <w:r w:rsidRPr="00CC3710">
        <w:rPr>
          <w:b/>
          <w:color w:val="000000" w:themeColor="text1"/>
          <w:sz w:val="24"/>
          <w:lang w:val="bg-BG"/>
        </w:rPr>
        <w:t>ІІ</w:t>
      </w:r>
      <w:r w:rsidR="00451EC5" w:rsidRPr="00CC3710">
        <w:rPr>
          <w:b/>
          <w:color w:val="000000" w:themeColor="text1"/>
          <w:sz w:val="24"/>
          <w:lang w:val="bg-BG"/>
        </w:rPr>
        <w:t xml:space="preserve">. ОТЧЕТ НА ОСНОВНИТЕ ПАРАМЕТРИ НА БЮДЖЕТА КЪМ </w:t>
      </w:r>
      <w:r w:rsidR="00451EC5" w:rsidRPr="00CC3710">
        <w:rPr>
          <w:b/>
          <w:color w:val="000000" w:themeColor="text1"/>
          <w:sz w:val="24"/>
        </w:rPr>
        <w:t>30</w:t>
      </w:r>
      <w:r w:rsidR="00451EC5" w:rsidRPr="00CC3710">
        <w:rPr>
          <w:b/>
          <w:color w:val="000000" w:themeColor="text1"/>
          <w:sz w:val="24"/>
          <w:lang w:val="bg-BG"/>
        </w:rPr>
        <w:t>.</w:t>
      </w:r>
      <w:r w:rsidR="00451EC5" w:rsidRPr="00CC3710">
        <w:rPr>
          <w:b/>
          <w:color w:val="000000" w:themeColor="text1"/>
          <w:sz w:val="24"/>
        </w:rPr>
        <w:t>06</w:t>
      </w:r>
      <w:r w:rsidR="00451EC5" w:rsidRPr="00CC3710">
        <w:rPr>
          <w:b/>
          <w:color w:val="000000" w:themeColor="text1"/>
          <w:sz w:val="24"/>
          <w:lang w:val="bg-BG"/>
        </w:rPr>
        <w:t xml:space="preserve">.2021 г. </w:t>
      </w:r>
    </w:p>
    <w:p w14:paraId="679620AE" w14:textId="77777777" w:rsidR="00451EC5" w:rsidRPr="00CC3710" w:rsidRDefault="00451EC5" w:rsidP="00451EC5">
      <w:pPr>
        <w:widowControl w:val="0"/>
        <w:spacing w:after="0" w:line="276" w:lineRule="auto"/>
        <w:jc w:val="both"/>
        <w:rPr>
          <w:rFonts w:ascii="Times New Roman" w:eastAsia="Times New Roman" w:hAnsi="Times New Roman" w:cs="Times New Roman"/>
          <w:b/>
          <w:color w:val="000000" w:themeColor="text1"/>
          <w:sz w:val="24"/>
          <w:szCs w:val="24"/>
        </w:rPr>
      </w:pPr>
    </w:p>
    <w:p w14:paraId="4A3ED920" w14:textId="569B3DD1" w:rsidR="00451EC5" w:rsidRPr="00CC3710" w:rsidRDefault="00451EC5" w:rsidP="00745CD0">
      <w:pPr>
        <w:widowControl w:val="0"/>
        <w:numPr>
          <w:ilvl w:val="0"/>
          <w:numId w:val="1"/>
        </w:numPr>
        <w:spacing w:after="0" w:line="276" w:lineRule="auto"/>
        <w:jc w:val="both"/>
        <w:rPr>
          <w:rFonts w:ascii="Times New Roman" w:eastAsia="Times New Roman" w:hAnsi="Times New Roman" w:cs="Times New Roman"/>
          <w:b/>
          <w:color w:val="000000" w:themeColor="text1"/>
          <w:sz w:val="24"/>
          <w:szCs w:val="24"/>
          <w:lang w:val="ru-RU"/>
        </w:rPr>
      </w:pPr>
      <w:r w:rsidRPr="00CC3710">
        <w:rPr>
          <w:rFonts w:ascii="Times New Roman" w:eastAsia="Times New Roman" w:hAnsi="Times New Roman" w:cs="Times New Roman"/>
          <w:b/>
          <w:color w:val="000000" w:themeColor="text1"/>
          <w:sz w:val="24"/>
          <w:szCs w:val="24"/>
          <w:lang w:val="ru-RU"/>
        </w:rPr>
        <w:t>Отчет на приходите</w:t>
      </w:r>
    </w:p>
    <w:p w14:paraId="681C8B78" w14:textId="77777777" w:rsidR="00451EC5" w:rsidRPr="00CC3710" w:rsidRDefault="00451EC5" w:rsidP="00451EC5">
      <w:pPr>
        <w:spacing w:after="0" w:line="276" w:lineRule="auto"/>
        <w:ind w:firstLine="708"/>
        <w:jc w:val="both"/>
        <w:rPr>
          <w:rFonts w:ascii="Times New Roman" w:hAnsi="Times New Roman" w:cs="Times New Roman"/>
          <w:color w:val="000000" w:themeColor="text1"/>
          <w:sz w:val="24"/>
          <w:szCs w:val="24"/>
        </w:rPr>
      </w:pPr>
      <w:r w:rsidRPr="00CC3710">
        <w:rPr>
          <w:rFonts w:ascii="Times New Roman" w:hAnsi="Times New Roman" w:cs="Times New Roman"/>
          <w:color w:val="000000" w:themeColor="text1"/>
          <w:sz w:val="24"/>
          <w:szCs w:val="24"/>
        </w:rPr>
        <w:t>Със Закона за държавния бюджет на Република България за 2021 г. (обн. ДВ, бр. 104 от 08.12.2020 г.)</w:t>
      </w:r>
      <w:r w:rsidRPr="00CC3710">
        <w:rPr>
          <w:rFonts w:ascii="Times New Roman" w:hAnsi="Times New Roman" w:cs="Times New Roman"/>
          <w:color w:val="000000" w:themeColor="text1"/>
          <w:sz w:val="24"/>
          <w:szCs w:val="24"/>
          <w:lang w:val="en-US"/>
        </w:rPr>
        <w:t xml:space="preserve"> </w:t>
      </w:r>
      <w:r w:rsidRPr="00CC3710">
        <w:rPr>
          <w:rFonts w:ascii="Times New Roman" w:hAnsi="Times New Roman" w:cs="Times New Roman"/>
          <w:color w:val="000000" w:themeColor="text1"/>
          <w:sz w:val="24"/>
          <w:szCs w:val="24"/>
        </w:rPr>
        <w:t xml:space="preserve">и Постановление № 408 на МС от 23.12.2020 г. за изпълнението на държавния бюджет на Република България за 2021 г., по бюджета на Комисия за защита на конкуренцията са утвърдени приходи в размер на 6 000 000 лв. </w:t>
      </w:r>
    </w:p>
    <w:p w14:paraId="14D3747E" w14:textId="1509DF79" w:rsidR="00451EC5" w:rsidRPr="00CC3710" w:rsidRDefault="00451EC5" w:rsidP="00451EC5">
      <w:pPr>
        <w:shd w:val="clear" w:color="auto" w:fill="FFFFFF"/>
        <w:spacing w:after="0" w:line="276" w:lineRule="auto"/>
        <w:ind w:left="10" w:right="14" w:firstLine="701"/>
        <w:jc w:val="both"/>
        <w:rPr>
          <w:rFonts w:ascii="Times New Roman" w:hAnsi="Times New Roman" w:cs="Times New Roman"/>
          <w:color w:val="000000" w:themeColor="text1"/>
          <w:sz w:val="24"/>
          <w:szCs w:val="24"/>
        </w:rPr>
      </w:pPr>
      <w:r w:rsidRPr="00CC3710">
        <w:rPr>
          <w:color w:val="000000" w:themeColor="text1"/>
        </w:rPr>
        <w:t xml:space="preserve">  </w:t>
      </w:r>
      <w:r w:rsidRPr="00CC3710">
        <w:rPr>
          <w:rFonts w:ascii="Times New Roman" w:hAnsi="Times New Roman" w:cs="Times New Roman"/>
          <w:color w:val="000000" w:themeColor="text1"/>
          <w:sz w:val="24"/>
          <w:szCs w:val="24"/>
        </w:rPr>
        <w:t>Към 3</w:t>
      </w:r>
      <w:r w:rsidRPr="00CC3710">
        <w:rPr>
          <w:rFonts w:ascii="Times New Roman" w:hAnsi="Times New Roman" w:cs="Times New Roman"/>
          <w:color w:val="000000" w:themeColor="text1"/>
          <w:sz w:val="24"/>
          <w:szCs w:val="24"/>
          <w:lang w:val="en-US"/>
        </w:rPr>
        <w:t>0</w:t>
      </w:r>
      <w:r w:rsidRPr="00CC3710">
        <w:rPr>
          <w:rFonts w:ascii="Times New Roman" w:hAnsi="Times New Roman" w:cs="Times New Roman"/>
          <w:color w:val="000000" w:themeColor="text1"/>
          <w:sz w:val="24"/>
          <w:szCs w:val="24"/>
        </w:rPr>
        <w:t>.</w:t>
      </w:r>
      <w:r w:rsidRPr="00CC3710">
        <w:rPr>
          <w:rFonts w:ascii="Times New Roman" w:hAnsi="Times New Roman" w:cs="Times New Roman"/>
          <w:color w:val="000000" w:themeColor="text1"/>
          <w:sz w:val="24"/>
          <w:szCs w:val="24"/>
          <w:lang w:val="en-US"/>
        </w:rPr>
        <w:t>06</w:t>
      </w:r>
      <w:r w:rsidRPr="00CC3710">
        <w:rPr>
          <w:rFonts w:ascii="Times New Roman" w:hAnsi="Times New Roman" w:cs="Times New Roman"/>
          <w:color w:val="000000" w:themeColor="text1"/>
          <w:sz w:val="24"/>
          <w:szCs w:val="24"/>
        </w:rPr>
        <w:t>.202</w:t>
      </w:r>
      <w:r w:rsidRPr="00CC3710">
        <w:rPr>
          <w:rFonts w:ascii="Times New Roman" w:hAnsi="Times New Roman" w:cs="Times New Roman"/>
          <w:color w:val="000000" w:themeColor="text1"/>
          <w:sz w:val="24"/>
          <w:szCs w:val="24"/>
          <w:lang w:val="en-US"/>
        </w:rPr>
        <w:t>1</w:t>
      </w:r>
      <w:r w:rsidRPr="00CC3710">
        <w:rPr>
          <w:rFonts w:ascii="Times New Roman" w:hAnsi="Times New Roman" w:cs="Times New Roman"/>
          <w:color w:val="000000" w:themeColor="text1"/>
          <w:sz w:val="24"/>
          <w:szCs w:val="24"/>
        </w:rPr>
        <w:t xml:space="preserve"> г. по приходната част на бюджета са отчетени 8 519 302 лв., което надхвърля с 2 519 302 лв. планираните по бюджета на КЗК приходи.</w:t>
      </w:r>
    </w:p>
    <w:tbl>
      <w:tblPr>
        <w:tblW w:w="9503" w:type="dxa"/>
        <w:tblCellMar>
          <w:left w:w="70" w:type="dxa"/>
          <w:right w:w="70" w:type="dxa"/>
        </w:tblCellMar>
        <w:tblLook w:val="04A0" w:firstRow="1" w:lastRow="0" w:firstColumn="1" w:lastColumn="0" w:noHBand="0" w:noVBand="1"/>
      </w:tblPr>
      <w:tblGrid>
        <w:gridCol w:w="6024"/>
        <w:gridCol w:w="1136"/>
        <w:gridCol w:w="1278"/>
        <w:gridCol w:w="1065"/>
      </w:tblGrid>
      <w:tr w:rsidR="00451EC5" w:rsidRPr="00CC3710" w14:paraId="0606F560" w14:textId="77777777" w:rsidTr="00451EC5">
        <w:trPr>
          <w:trHeight w:val="315"/>
        </w:trPr>
        <w:tc>
          <w:tcPr>
            <w:tcW w:w="6024" w:type="dxa"/>
            <w:tcBorders>
              <w:top w:val="nil"/>
              <w:left w:val="nil"/>
              <w:bottom w:val="nil"/>
              <w:right w:val="nil"/>
            </w:tcBorders>
            <w:shd w:val="clear" w:color="auto" w:fill="auto"/>
            <w:noWrap/>
            <w:vAlign w:val="center"/>
            <w:hideMark/>
          </w:tcPr>
          <w:p w14:paraId="1B2C255A" w14:textId="77777777" w:rsidR="00451EC5" w:rsidRPr="00CC3710" w:rsidRDefault="00451EC5" w:rsidP="00451EC5">
            <w:pPr>
              <w:spacing w:after="0" w:line="240" w:lineRule="auto"/>
              <w:jc w:val="both"/>
              <w:rPr>
                <w:rFonts w:ascii="Times New Roman" w:hAnsi="Times New Roman" w:cs="Times New Roman"/>
                <w:b/>
                <w:i/>
                <w:color w:val="000000" w:themeColor="text1"/>
                <w:sz w:val="24"/>
                <w:szCs w:val="24"/>
              </w:rPr>
            </w:pPr>
          </w:p>
          <w:p w14:paraId="0F28B5F5" w14:textId="295E2131" w:rsidR="00451EC5" w:rsidRPr="00CC3710" w:rsidRDefault="00451EC5" w:rsidP="00451EC5">
            <w:pPr>
              <w:spacing w:after="0" w:line="240" w:lineRule="auto"/>
              <w:jc w:val="both"/>
              <w:rPr>
                <w:rFonts w:ascii="Times New Roman" w:hAnsi="Times New Roman" w:cs="Times New Roman"/>
                <w:color w:val="000000" w:themeColor="text1"/>
                <w:sz w:val="24"/>
                <w:szCs w:val="24"/>
              </w:rPr>
            </w:pPr>
            <w:r w:rsidRPr="00CC3710">
              <w:rPr>
                <w:rFonts w:ascii="Times New Roman" w:hAnsi="Times New Roman" w:cs="Times New Roman"/>
                <w:b/>
                <w:i/>
                <w:color w:val="000000" w:themeColor="text1"/>
                <w:sz w:val="24"/>
                <w:szCs w:val="24"/>
              </w:rPr>
              <w:t xml:space="preserve">Приложение № 1 </w:t>
            </w:r>
            <w:r w:rsidRPr="00CC3710">
              <w:rPr>
                <w:rFonts w:ascii="Times New Roman" w:hAnsi="Times New Roman" w:cs="Times New Roman"/>
                <w:color w:val="000000" w:themeColor="text1"/>
                <w:sz w:val="24"/>
                <w:szCs w:val="24"/>
              </w:rPr>
              <w:t>– Отчет на приходите по бюджета</w:t>
            </w:r>
          </w:p>
          <w:p w14:paraId="27D9239D" w14:textId="77777777" w:rsidR="00451EC5" w:rsidRPr="00CC3710" w:rsidRDefault="00451EC5" w:rsidP="00451EC5">
            <w:pPr>
              <w:spacing w:after="0" w:line="240" w:lineRule="auto"/>
              <w:jc w:val="both"/>
              <w:rPr>
                <w:rFonts w:ascii="Times New Roman" w:eastAsia="Times New Roman" w:hAnsi="Times New Roman" w:cs="Times New Roman"/>
                <w:b/>
                <w:bCs/>
                <w:color w:val="000000" w:themeColor="text1"/>
                <w:sz w:val="20"/>
                <w:szCs w:val="20"/>
                <w:lang w:eastAsia="bg-BG"/>
              </w:rPr>
            </w:pPr>
          </w:p>
        </w:tc>
        <w:tc>
          <w:tcPr>
            <w:tcW w:w="1136" w:type="dxa"/>
            <w:tcBorders>
              <w:top w:val="nil"/>
              <w:left w:val="nil"/>
              <w:bottom w:val="nil"/>
              <w:right w:val="nil"/>
            </w:tcBorders>
            <w:shd w:val="clear" w:color="auto" w:fill="auto"/>
            <w:noWrap/>
            <w:vAlign w:val="bottom"/>
            <w:hideMark/>
          </w:tcPr>
          <w:p w14:paraId="50380CEF" w14:textId="77777777" w:rsidR="00451EC5" w:rsidRPr="00CC3710" w:rsidRDefault="00451EC5" w:rsidP="00451EC5">
            <w:pPr>
              <w:spacing w:after="0" w:line="240" w:lineRule="auto"/>
              <w:jc w:val="both"/>
              <w:rPr>
                <w:rFonts w:ascii="Times New Roman" w:eastAsia="Times New Roman" w:hAnsi="Times New Roman" w:cs="Times New Roman"/>
                <w:b/>
                <w:bCs/>
                <w:color w:val="000000" w:themeColor="text1"/>
                <w:sz w:val="20"/>
                <w:szCs w:val="20"/>
                <w:lang w:eastAsia="bg-BG"/>
              </w:rPr>
            </w:pPr>
          </w:p>
        </w:tc>
        <w:tc>
          <w:tcPr>
            <w:tcW w:w="1278" w:type="dxa"/>
            <w:tcBorders>
              <w:top w:val="nil"/>
              <w:left w:val="nil"/>
              <w:bottom w:val="nil"/>
              <w:right w:val="nil"/>
            </w:tcBorders>
            <w:shd w:val="clear" w:color="auto" w:fill="auto"/>
            <w:noWrap/>
            <w:vAlign w:val="bottom"/>
            <w:hideMark/>
          </w:tcPr>
          <w:p w14:paraId="115510EE" w14:textId="77777777" w:rsidR="00451EC5" w:rsidRPr="00CC3710" w:rsidRDefault="00451EC5" w:rsidP="00451EC5">
            <w:pPr>
              <w:spacing w:after="0" w:line="240" w:lineRule="auto"/>
              <w:rPr>
                <w:rFonts w:ascii="Times New Roman" w:eastAsia="Times New Roman" w:hAnsi="Times New Roman" w:cs="Times New Roman"/>
                <w:color w:val="000000" w:themeColor="text1"/>
                <w:sz w:val="20"/>
                <w:szCs w:val="20"/>
                <w:lang w:eastAsia="bg-BG"/>
              </w:rPr>
            </w:pPr>
          </w:p>
        </w:tc>
        <w:tc>
          <w:tcPr>
            <w:tcW w:w="1065" w:type="dxa"/>
            <w:tcBorders>
              <w:top w:val="nil"/>
              <w:left w:val="nil"/>
              <w:bottom w:val="nil"/>
              <w:right w:val="nil"/>
            </w:tcBorders>
            <w:shd w:val="clear" w:color="auto" w:fill="auto"/>
            <w:noWrap/>
            <w:vAlign w:val="bottom"/>
            <w:hideMark/>
          </w:tcPr>
          <w:p w14:paraId="077747B7" w14:textId="77777777" w:rsidR="00451EC5" w:rsidRPr="00CC3710" w:rsidRDefault="00451EC5" w:rsidP="00451EC5">
            <w:pPr>
              <w:spacing w:after="0" w:line="240" w:lineRule="auto"/>
              <w:rPr>
                <w:rFonts w:ascii="Times New Roman" w:eastAsia="Times New Roman" w:hAnsi="Times New Roman" w:cs="Times New Roman"/>
                <w:color w:val="000000" w:themeColor="text1"/>
                <w:sz w:val="20"/>
                <w:szCs w:val="20"/>
                <w:lang w:eastAsia="bg-BG"/>
              </w:rPr>
            </w:pPr>
          </w:p>
        </w:tc>
      </w:tr>
      <w:tr w:rsidR="00451EC5" w:rsidRPr="00CC3710" w14:paraId="3D5BB9D1" w14:textId="77777777" w:rsidTr="00451EC5">
        <w:trPr>
          <w:trHeight w:val="300"/>
        </w:trPr>
        <w:tc>
          <w:tcPr>
            <w:tcW w:w="6024" w:type="dxa"/>
            <w:tcBorders>
              <w:top w:val="single" w:sz="8" w:space="0" w:color="auto"/>
              <w:left w:val="single" w:sz="8" w:space="0" w:color="auto"/>
              <w:bottom w:val="nil"/>
              <w:right w:val="single" w:sz="8" w:space="0" w:color="auto"/>
            </w:tcBorders>
            <w:shd w:val="clear" w:color="000000" w:fill="E6E6E6"/>
            <w:vAlign w:val="center"/>
            <w:hideMark/>
          </w:tcPr>
          <w:p w14:paraId="540018B3"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ПРИХОДИ</w:t>
            </w:r>
          </w:p>
        </w:tc>
        <w:tc>
          <w:tcPr>
            <w:tcW w:w="1136"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22C0670B"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Закон</w:t>
            </w:r>
          </w:p>
        </w:tc>
        <w:tc>
          <w:tcPr>
            <w:tcW w:w="1278"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A3DC692"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Уточнен план</w:t>
            </w:r>
          </w:p>
        </w:tc>
        <w:tc>
          <w:tcPr>
            <w:tcW w:w="1065"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EF7A402"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Отчет</w:t>
            </w:r>
          </w:p>
        </w:tc>
      </w:tr>
      <w:tr w:rsidR="00451EC5" w:rsidRPr="00CC3710" w14:paraId="574EE458" w14:textId="77777777" w:rsidTr="00451EC5">
        <w:trPr>
          <w:trHeight w:val="315"/>
        </w:trPr>
        <w:tc>
          <w:tcPr>
            <w:tcW w:w="6024" w:type="dxa"/>
            <w:tcBorders>
              <w:top w:val="nil"/>
              <w:left w:val="single" w:sz="8" w:space="0" w:color="auto"/>
              <w:bottom w:val="single" w:sz="8" w:space="0" w:color="auto"/>
              <w:right w:val="single" w:sz="8" w:space="0" w:color="auto"/>
            </w:tcBorders>
            <w:shd w:val="clear" w:color="000000" w:fill="E6E6E6"/>
            <w:vAlign w:val="center"/>
            <w:hideMark/>
          </w:tcPr>
          <w:p w14:paraId="02F45FA5"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(в лева)</w:t>
            </w:r>
          </w:p>
        </w:tc>
        <w:tc>
          <w:tcPr>
            <w:tcW w:w="1136" w:type="dxa"/>
            <w:vMerge/>
            <w:tcBorders>
              <w:top w:val="single" w:sz="8" w:space="0" w:color="auto"/>
              <w:left w:val="single" w:sz="8" w:space="0" w:color="auto"/>
              <w:bottom w:val="single" w:sz="8" w:space="0" w:color="000000"/>
              <w:right w:val="single" w:sz="8" w:space="0" w:color="auto"/>
            </w:tcBorders>
            <w:vAlign w:val="center"/>
            <w:hideMark/>
          </w:tcPr>
          <w:p w14:paraId="7405F2D0" w14:textId="77777777" w:rsidR="00451EC5" w:rsidRPr="00CC3710" w:rsidRDefault="00451EC5" w:rsidP="00451EC5">
            <w:pPr>
              <w:spacing w:after="0" w:line="240" w:lineRule="auto"/>
              <w:rPr>
                <w:rFonts w:ascii="Times New Roman" w:eastAsia="Times New Roman" w:hAnsi="Times New Roman" w:cs="Times New Roman"/>
                <w:b/>
                <w:bCs/>
                <w:color w:val="000000" w:themeColor="text1"/>
                <w:lang w:eastAsia="bg-BG"/>
              </w:rPr>
            </w:pPr>
          </w:p>
        </w:tc>
        <w:tc>
          <w:tcPr>
            <w:tcW w:w="1278" w:type="dxa"/>
            <w:vMerge/>
            <w:tcBorders>
              <w:top w:val="single" w:sz="8" w:space="0" w:color="auto"/>
              <w:left w:val="single" w:sz="8" w:space="0" w:color="auto"/>
              <w:bottom w:val="single" w:sz="8" w:space="0" w:color="000000"/>
              <w:right w:val="single" w:sz="8" w:space="0" w:color="auto"/>
            </w:tcBorders>
            <w:vAlign w:val="center"/>
            <w:hideMark/>
          </w:tcPr>
          <w:p w14:paraId="23410669" w14:textId="77777777" w:rsidR="00451EC5" w:rsidRPr="00CC3710" w:rsidRDefault="00451EC5" w:rsidP="00451EC5">
            <w:pPr>
              <w:spacing w:after="0" w:line="240" w:lineRule="auto"/>
              <w:rPr>
                <w:rFonts w:ascii="Times New Roman" w:eastAsia="Times New Roman" w:hAnsi="Times New Roman" w:cs="Times New Roman"/>
                <w:b/>
                <w:bCs/>
                <w:color w:val="000000" w:themeColor="text1"/>
                <w:lang w:eastAsia="bg-BG"/>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14:paraId="109FA378" w14:textId="77777777" w:rsidR="00451EC5" w:rsidRPr="00CC3710" w:rsidRDefault="00451EC5" w:rsidP="00451EC5">
            <w:pPr>
              <w:spacing w:after="0" w:line="240" w:lineRule="auto"/>
              <w:rPr>
                <w:rFonts w:ascii="Times New Roman" w:eastAsia="Times New Roman" w:hAnsi="Times New Roman" w:cs="Times New Roman"/>
                <w:b/>
                <w:bCs/>
                <w:color w:val="000000" w:themeColor="text1"/>
                <w:lang w:eastAsia="bg-BG"/>
              </w:rPr>
            </w:pPr>
          </w:p>
        </w:tc>
      </w:tr>
      <w:tr w:rsidR="00451EC5" w:rsidRPr="00CC3710" w14:paraId="136828D3" w14:textId="77777777" w:rsidTr="00451EC5">
        <w:trPr>
          <w:trHeight w:val="315"/>
        </w:trPr>
        <w:tc>
          <w:tcPr>
            <w:tcW w:w="6024" w:type="dxa"/>
            <w:tcBorders>
              <w:top w:val="nil"/>
              <w:left w:val="single" w:sz="8" w:space="0" w:color="auto"/>
              <w:bottom w:val="single" w:sz="8" w:space="0" w:color="auto"/>
              <w:right w:val="single" w:sz="8" w:space="0" w:color="auto"/>
            </w:tcBorders>
            <w:shd w:val="clear" w:color="000000" w:fill="E6E6E6"/>
            <w:vAlign w:val="center"/>
            <w:hideMark/>
          </w:tcPr>
          <w:p w14:paraId="089AF530" w14:textId="77777777" w:rsidR="00451EC5" w:rsidRPr="00CC3710" w:rsidRDefault="00451EC5" w:rsidP="00451EC5">
            <w:pPr>
              <w:spacing w:after="0" w:line="240" w:lineRule="auto"/>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Общо приходи:</w:t>
            </w:r>
          </w:p>
        </w:tc>
        <w:tc>
          <w:tcPr>
            <w:tcW w:w="1136" w:type="dxa"/>
            <w:tcBorders>
              <w:top w:val="nil"/>
              <w:left w:val="nil"/>
              <w:bottom w:val="single" w:sz="8" w:space="0" w:color="auto"/>
              <w:right w:val="single" w:sz="8" w:space="0" w:color="auto"/>
            </w:tcBorders>
            <w:shd w:val="clear" w:color="000000" w:fill="E6E6E6"/>
            <w:vAlign w:val="center"/>
            <w:hideMark/>
          </w:tcPr>
          <w:p w14:paraId="3BBCF786"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6 000 000</w:t>
            </w:r>
          </w:p>
        </w:tc>
        <w:tc>
          <w:tcPr>
            <w:tcW w:w="1278" w:type="dxa"/>
            <w:tcBorders>
              <w:top w:val="nil"/>
              <w:left w:val="nil"/>
              <w:bottom w:val="single" w:sz="8" w:space="0" w:color="auto"/>
              <w:right w:val="single" w:sz="8" w:space="0" w:color="auto"/>
            </w:tcBorders>
            <w:shd w:val="clear" w:color="000000" w:fill="E6E6E6"/>
            <w:vAlign w:val="center"/>
            <w:hideMark/>
          </w:tcPr>
          <w:p w14:paraId="5B709549"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6 000 000</w:t>
            </w:r>
          </w:p>
        </w:tc>
        <w:tc>
          <w:tcPr>
            <w:tcW w:w="1065" w:type="dxa"/>
            <w:tcBorders>
              <w:top w:val="nil"/>
              <w:left w:val="nil"/>
              <w:bottom w:val="single" w:sz="8" w:space="0" w:color="auto"/>
              <w:right w:val="single" w:sz="8" w:space="0" w:color="auto"/>
            </w:tcBorders>
            <w:shd w:val="clear" w:color="000000" w:fill="E6E6E6"/>
            <w:vAlign w:val="center"/>
            <w:hideMark/>
          </w:tcPr>
          <w:p w14:paraId="091C07E9"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8 519 302</w:t>
            </w:r>
          </w:p>
        </w:tc>
      </w:tr>
      <w:tr w:rsidR="00451EC5" w:rsidRPr="00CC3710" w14:paraId="0375BF15"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1DF2DC74" w14:textId="77777777" w:rsidR="00451EC5" w:rsidRPr="00CC3710" w:rsidRDefault="00451EC5" w:rsidP="00451EC5">
            <w:pPr>
              <w:spacing w:after="0" w:line="240" w:lineRule="auto"/>
              <w:jc w:val="both"/>
              <w:rPr>
                <w:rFonts w:ascii="Times New Roman" w:eastAsia="Times New Roman" w:hAnsi="Times New Roman" w:cs="Times New Roman"/>
                <w:b/>
                <w:i/>
                <w:iCs/>
                <w:color w:val="000000" w:themeColor="text1"/>
                <w:sz w:val="16"/>
                <w:szCs w:val="16"/>
                <w:lang w:eastAsia="bg-BG"/>
              </w:rPr>
            </w:pPr>
            <w:r w:rsidRPr="00CC3710">
              <w:rPr>
                <w:rFonts w:ascii="Times New Roman" w:eastAsia="Times New Roman" w:hAnsi="Times New Roman" w:cs="Times New Roman"/>
                <w:b/>
                <w:i/>
                <w:iCs/>
                <w:color w:val="000000" w:themeColor="text1"/>
                <w:lang w:eastAsia="bg-BG"/>
              </w:rPr>
              <w:t>Данъчни приходи</w:t>
            </w:r>
          </w:p>
        </w:tc>
        <w:tc>
          <w:tcPr>
            <w:tcW w:w="1136" w:type="dxa"/>
            <w:tcBorders>
              <w:top w:val="nil"/>
              <w:left w:val="nil"/>
              <w:bottom w:val="single" w:sz="8" w:space="0" w:color="auto"/>
              <w:right w:val="single" w:sz="8" w:space="0" w:color="auto"/>
            </w:tcBorders>
            <w:shd w:val="clear" w:color="auto" w:fill="auto"/>
            <w:vAlign w:val="center"/>
            <w:hideMark/>
          </w:tcPr>
          <w:p w14:paraId="090011A8" w14:textId="77777777" w:rsidR="00451EC5" w:rsidRPr="00CC3710" w:rsidRDefault="00451EC5" w:rsidP="00451EC5">
            <w:pPr>
              <w:spacing w:after="0" w:line="240" w:lineRule="auto"/>
              <w:jc w:val="right"/>
              <w:rPr>
                <w:rFonts w:ascii="Times New Roman" w:eastAsia="Times New Roman" w:hAnsi="Times New Roman" w:cs="Times New Roman"/>
                <w:b/>
                <w:color w:val="000000" w:themeColor="text1"/>
                <w:lang w:val="en-US" w:eastAsia="bg-BG"/>
              </w:rPr>
            </w:pPr>
            <w:r w:rsidRPr="00CC3710">
              <w:rPr>
                <w:rFonts w:ascii="Times New Roman" w:eastAsia="Times New Roman" w:hAnsi="Times New Roman" w:cs="Times New Roman"/>
                <w:b/>
                <w:color w:val="000000" w:themeColor="text1"/>
                <w:lang w:val="en-US"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2B20065" w14:textId="77777777" w:rsidR="00451EC5" w:rsidRPr="00CC3710" w:rsidRDefault="00451EC5" w:rsidP="00451EC5">
            <w:pPr>
              <w:spacing w:after="0" w:line="240" w:lineRule="auto"/>
              <w:jc w:val="right"/>
              <w:rPr>
                <w:rFonts w:ascii="Times New Roman" w:eastAsia="Times New Roman" w:hAnsi="Times New Roman" w:cs="Times New Roman"/>
                <w:b/>
                <w:color w:val="000000" w:themeColor="text1"/>
                <w:lang w:val="en-US" w:eastAsia="bg-BG"/>
              </w:rPr>
            </w:pPr>
            <w:r w:rsidRPr="00CC3710">
              <w:rPr>
                <w:rFonts w:ascii="Times New Roman" w:eastAsia="Times New Roman" w:hAnsi="Times New Roman" w:cs="Times New Roman"/>
                <w:b/>
                <w:color w:val="000000" w:themeColor="text1"/>
                <w:lang w:val="en-US"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61C5FC87" w14:textId="77777777" w:rsidR="00451EC5" w:rsidRPr="00CC3710" w:rsidRDefault="00451EC5" w:rsidP="00451EC5">
            <w:pPr>
              <w:spacing w:after="0" w:line="240" w:lineRule="auto"/>
              <w:jc w:val="right"/>
              <w:rPr>
                <w:rFonts w:ascii="Times New Roman" w:eastAsia="Times New Roman" w:hAnsi="Times New Roman" w:cs="Times New Roman"/>
                <w:b/>
                <w:color w:val="000000" w:themeColor="text1"/>
                <w:lang w:val="en-US" w:eastAsia="bg-BG"/>
              </w:rPr>
            </w:pPr>
            <w:r w:rsidRPr="00CC3710">
              <w:rPr>
                <w:rFonts w:ascii="Times New Roman" w:eastAsia="Times New Roman" w:hAnsi="Times New Roman" w:cs="Times New Roman"/>
                <w:b/>
                <w:color w:val="000000" w:themeColor="text1"/>
                <w:lang w:val="en-US" w:eastAsia="bg-BG"/>
              </w:rPr>
              <w:t>0</w:t>
            </w:r>
          </w:p>
        </w:tc>
      </w:tr>
      <w:tr w:rsidR="00451EC5" w:rsidRPr="00CC3710" w14:paraId="28021166"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57303BA7" w14:textId="77777777" w:rsidR="00451EC5" w:rsidRPr="00CC3710" w:rsidRDefault="00451EC5" w:rsidP="00451EC5">
            <w:pPr>
              <w:spacing w:after="0" w:line="240" w:lineRule="auto"/>
              <w:jc w:val="both"/>
              <w:rPr>
                <w:rFonts w:ascii="Times New Roman" w:eastAsia="Times New Roman" w:hAnsi="Times New Roman" w:cs="Times New Roman"/>
                <w:i/>
                <w:iCs/>
                <w:color w:val="000000" w:themeColor="text1"/>
                <w:sz w:val="16"/>
                <w:szCs w:val="16"/>
                <w:lang w:eastAsia="bg-BG"/>
              </w:rPr>
            </w:pPr>
            <w:r w:rsidRPr="00CC3710">
              <w:rPr>
                <w:rFonts w:ascii="Times New Roman" w:eastAsia="Times New Roman" w:hAnsi="Times New Roman" w:cs="Times New Roman"/>
                <w:b/>
                <w:bCs/>
                <w:i/>
                <w:iCs/>
                <w:color w:val="000000" w:themeColor="text1"/>
                <w:lang w:eastAsia="bg-BG"/>
              </w:rPr>
              <w:t>Неданъчни приходи</w:t>
            </w:r>
          </w:p>
        </w:tc>
        <w:tc>
          <w:tcPr>
            <w:tcW w:w="1136" w:type="dxa"/>
            <w:tcBorders>
              <w:top w:val="nil"/>
              <w:left w:val="nil"/>
              <w:bottom w:val="single" w:sz="8" w:space="0" w:color="auto"/>
              <w:right w:val="single" w:sz="8" w:space="0" w:color="auto"/>
            </w:tcBorders>
            <w:shd w:val="clear" w:color="000000" w:fill="FFFFFF"/>
            <w:vAlign w:val="center"/>
            <w:hideMark/>
          </w:tcPr>
          <w:p w14:paraId="706D6A41" w14:textId="77777777" w:rsidR="00451EC5" w:rsidRPr="00CC3710" w:rsidRDefault="00451EC5" w:rsidP="00451EC5">
            <w:pPr>
              <w:spacing w:after="0" w:line="240" w:lineRule="auto"/>
              <w:jc w:val="right"/>
              <w:rPr>
                <w:rFonts w:ascii="Times New Roman" w:eastAsia="Times New Roman" w:hAnsi="Times New Roman" w:cs="Times New Roman"/>
                <w:b/>
                <w:bCs/>
                <w:color w:val="000000" w:themeColor="text1"/>
                <w:lang w:val="en-US" w:eastAsia="bg-BG"/>
              </w:rPr>
            </w:pPr>
            <w:r w:rsidRPr="00CC3710">
              <w:rPr>
                <w:rFonts w:ascii="Times New Roman" w:eastAsia="Times New Roman" w:hAnsi="Times New Roman" w:cs="Times New Roman"/>
                <w:b/>
                <w:bCs/>
                <w:color w:val="000000" w:themeColor="text1"/>
                <w:lang w:val="en-US" w:eastAsia="bg-BG"/>
              </w:rPr>
              <w:t>6 000 000</w:t>
            </w:r>
          </w:p>
        </w:tc>
        <w:tc>
          <w:tcPr>
            <w:tcW w:w="1278" w:type="dxa"/>
            <w:tcBorders>
              <w:top w:val="nil"/>
              <w:left w:val="nil"/>
              <w:bottom w:val="single" w:sz="8" w:space="0" w:color="auto"/>
              <w:right w:val="single" w:sz="8" w:space="0" w:color="auto"/>
            </w:tcBorders>
            <w:shd w:val="clear" w:color="000000" w:fill="FFFFFF"/>
            <w:vAlign w:val="center"/>
            <w:hideMark/>
          </w:tcPr>
          <w:p w14:paraId="309231BB" w14:textId="77777777" w:rsidR="00451EC5" w:rsidRPr="00CC3710" w:rsidRDefault="00451EC5" w:rsidP="00451EC5">
            <w:pPr>
              <w:spacing w:after="0" w:line="240" w:lineRule="auto"/>
              <w:jc w:val="right"/>
              <w:rPr>
                <w:rFonts w:ascii="Times New Roman" w:eastAsia="Times New Roman" w:hAnsi="Times New Roman" w:cs="Times New Roman"/>
                <w:b/>
                <w:bCs/>
                <w:color w:val="000000" w:themeColor="text1"/>
                <w:lang w:val="en-US" w:eastAsia="bg-BG"/>
              </w:rPr>
            </w:pPr>
            <w:r w:rsidRPr="00CC3710">
              <w:rPr>
                <w:rFonts w:ascii="Times New Roman" w:eastAsia="Times New Roman" w:hAnsi="Times New Roman" w:cs="Times New Roman"/>
                <w:b/>
                <w:bCs/>
                <w:color w:val="000000" w:themeColor="text1"/>
                <w:lang w:val="en-US" w:eastAsia="bg-BG"/>
              </w:rPr>
              <w:t>6 000 000</w:t>
            </w:r>
          </w:p>
        </w:tc>
        <w:tc>
          <w:tcPr>
            <w:tcW w:w="1065" w:type="dxa"/>
            <w:tcBorders>
              <w:top w:val="nil"/>
              <w:left w:val="nil"/>
              <w:bottom w:val="single" w:sz="8" w:space="0" w:color="auto"/>
              <w:right w:val="single" w:sz="8" w:space="0" w:color="auto"/>
            </w:tcBorders>
            <w:shd w:val="clear" w:color="000000" w:fill="FFFFFF"/>
            <w:vAlign w:val="center"/>
            <w:hideMark/>
          </w:tcPr>
          <w:p w14:paraId="738A9EFC" w14:textId="77777777" w:rsidR="00451EC5" w:rsidRPr="00CC3710" w:rsidRDefault="00451EC5" w:rsidP="00451EC5">
            <w:pPr>
              <w:spacing w:after="0" w:line="240" w:lineRule="auto"/>
              <w:jc w:val="right"/>
              <w:rPr>
                <w:rFonts w:ascii="Times New Roman" w:eastAsia="Times New Roman" w:hAnsi="Times New Roman" w:cs="Times New Roman"/>
                <w:b/>
                <w:bCs/>
                <w:color w:val="000000" w:themeColor="text1"/>
                <w:lang w:val="en-US" w:eastAsia="bg-BG"/>
              </w:rPr>
            </w:pPr>
            <w:r w:rsidRPr="00CC3710">
              <w:rPr>
                <w:rFonts w:ascii="Times New Roman" w:eastAsia="Times New Roman" w:hAnsi="Times New Roman" w:cs="Times New Roman"/>
                <w:b/>
                <w:bCs/>
                <w:color w:val="000000" w:themeColor="text1"/>
                <w:lang w:val="en-US" w:eastAsia="bg-BG"/>
              </w:rPr>
              <w:t>8 519 302</w:t>
            </w:r>
          </w:p>
        </w:tc>
      </w:tr>
      <w:tr w:rsidR="00451EC5" w:rsidRPr="00CC3710" w14:paraId="1E812DAF"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7262469A" w14:textId="77777777" w:rsidR="00451EC5" w:rsidRPr="00CC3710" w:rsidRDefault="00451EC5" w:rsidP="00451EC5">
            <w:pPr>
              <w:spacing w:after="0" w:line="240" w:lineRule="auto"/>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Приходи и доходи от собственост</w:t>
            </w:r>
          </w:p>
        </w:tc>
        <w:tc>
          <w:tcPr>
            <w:tcW w:w="1136" w:type="dxa"/>
            <w:tcBorders>
              <w:top w:val="nil"/>
              <w:left w:val="nil"/>
              <w:bottom w:val="single" w:sz="8" w:space="0" w:color="auto"/>
              <w:right w:val="single" w:sz="8" w:space="0" w:color="auto"/>
            </w:tcBorders>
            <w:shd w:val="clear" w:color="auto" w:fill="auto"/>
            <w:vAlign w:val="center"/>
            <w:hideMark/>
          </w:tcPr>
          <w:p w14:paraId="3F3B65E6"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4C10E61"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5D5199AB"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0</w:t>
            </w:r>
          </w:p>
        </w:tc>
      </w:tr>
      <w:tr w:rsidR="00451EC5" w:rsidRPr="00CC3710" w14:paraId="76CE9E62"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5CC25004" w14:textId="77777777" w:rsidR="00451EC5" w:rsidRPr="00CC3710" w:rsidRDefault="00451EC5" w:rsidP="00451EC5">
            <w:pPr>
              <w:spacing w:after="0" w:line="240" w:lineRule="auto"/>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Държавни такси</w:t>
            </w:r>
          </w:p>
        </w:tc>
        <w:tc>
          <w:tcPr>
            <w:tcW w:w="1136" w:type="dxa"/>
            <w:tcBorders>
              <w:top w:val="nil"/>
              <w:left w:val="nil"/>
              <w:bottom w:val="single" w:sz="8" w:space="0" w:color="auto"/>
              <w:right w:val="single" w:sz="8" w:space="0" w:color="auto"/>
            </w:tcBorders>
            <w:shd w:val="clear" w:color="auto" w:fill="auto"/>
            <w:vAlign w:val="center"/>
            <w:hideMark/>
          </w:tcPr>
          <w:p w14:paraId="25848132"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4 000 000</w:t>
            </w:r>
          </w:p>
        </w:tc>
        <w:tc>
          <w:tcPr>
            <w:tcW w:w="1278" w:type="dxa"/>
            <w:tcBorders>
              <w:top w:val="nil"/>
              <w:left w:val="nil"/>
              <w:bottom w:val="single" w:sz="8" w:space="0" w:color="auto"/>
              <w:right w:val="single" w:sz="8" w:space="0" w:color="auto"/>
            </w:tcBorders>
            <w:shd w:val="clear" w:color="auto" w:fill="auto"/>
            <w:vAlign w:val="center"/>
            <w:hideMark/>
          </w:tcPr>
          <w:p w14:paraId="675D2989"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4 000 000</w:t>
            </w:r>
          </w:p>
        </w:tc>
        <w:tc>
          <w:tcPr>
            <w:tcW w:w="1065" w:type="dxa"/>
            <w:tcBorders>
              <w:top w:val="nil"/>
              <w:left w:val="nil"/>
              <w:bottom w:val="single" w:sz="8" w:space="0" w:color="auto"/>
              <w:right w:val="single" w:sz="8" w:space="0" w:color="auto"/>
            </w:tcBorders>
            <w:shd w:val="clear" w:color="auto" w:fill="auto"/>
            <w:vAlign w:val="center"/>
            <w:hideMark/>
          </w:tcPr>
          <w:p w14:paraId="7C0F6CD2"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1 549 007</w:t>
            </w:r>
          </w:p>
        </w:tc>
      </w:tr>
      <w:tr w:rsidR="00451EC5" w:rsidRPr="00CC3710" w14:paraId="56A53658"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6F9F1D98" w14:textId="77777777" w:rsidR="00451EC5" w:rsidRPr="00CC3710" w:rsidRDefault="00451EC5" w:rsidP="00451EC5">
            <w:pPr>
              <w:spacing w:after="0" w:line="240" w:lineRule="auto"/>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Глоби, санкции и наказателни лихви</w:t>
            </w:r>
          </w:p>
        </w:tc>
        <w:tc>
          <w:tcPr>
            <w:tcW w:w="1136" w:type="dxa"/>
            <w:tcBorders>
              <w:top w:val="nil"/>
              <w:left w:val="nil"/>
              <w:bottom w:val="single" w:sz="8" w:space="0" w:color="auto"/>
              <w:right w:val="single" w:sz="8" w:space="0" w:color="auto"/>
            </w:tcBorders>
            <w:shd w:val="clear" w:color="auto" w:fill="auto"/>
            <w:vAlign w:val="center"/>
            <w:hideMark/>
          </w:tcPr>
          <w:p w14:paraId="463F4422"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2 000 000</w:t>
            </w:r>
          </w:p>
        </w:tc>
        <w:tc>
          <w:tcPr>
            <w:tcW w:w="1278" w:type="dxa"/>
            <w:tcBorders>
              <w:top w:val="nil"/>
              <w:left w:val="nil"/>
              <w:bottom w:val="single" w:sz="8" w:space="0" w:color="auto"/>
              <w:right w:val="single" w:sz="8" w:space="0" w:color="auto"/>
            </w:tcBorders>
            <w:shd w:val="clear" w:color="auto" w:fill="auto"/>
            <w:vAlign w:val="center"/>
            <w:hideMark/>
          </w:tcPr>
          <w:p w14:paraId="0425A632"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2 000 000</w:t>
            </w:r>
          </w:p>
        </w:tc>
        <w:tc>
          <w:tcPr>
            <w:tcW w:w="1065" w:type="dxa"/>
            <w:tcBorders>
              <w:top w:val="nil"/>
              <w:left w:val="nil"/>
              <w:bottom w:val="single" w:sz="8" w:space="0" w:color="auto"/>
              <w:right w:val="single" w:sz="8" w:space="0" w:color="auto"/>
            </w:tcBorders>
            <w:shd w:val="clear" w:color="auto" w:fill="auto"/>
            <w:vAlign w:val="center"/>
            <w:hideMark/>
          </w:tcPr>
          <w:p w14:paraId="33657779"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6 962 603</w:t>
            </w:r>
          </w:p>
        </w:tc>
      </w:tr>
      <w:tr w:rsidR="00451EC5" w:rsidRPr="00CC3710" w14:paraId="40CFEE6D"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1B22C28F" w14:textId="77777777" w:rsidR="00451EC5" w:rsidRPr="00CC3710" w:rsidRDefault="00451EC5" w:rsidP="00451EC5">
            <w:pPr>
              <w:spacing w:after="0" w:line="240" w:lineRule="auto"/>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Приходи от концесии</w:t>
            </w:r>
          </w:p>
        </w:tc>
        <w:tc>
          <w:tcPr>
            <w:tcW w:w="1136" w:type="dxa"/>
            <w:tcBorders>
              <w:top w:val="nil"/>
              <w:left w:val="nil"/>
              <w:bottom w:val="single" w:sz="8" w:space="0" w:color="auto"/>
              <w:right w:val="single" w:sz="8" w:space="0" w:color="auto"/>
            </w:tcBorders>
            <w:shd w:val="clear" w:color="auto" w:fill="auto"/>
            <w:vAlign w:val="center"/>
            <w:hideMark/>
          </w:tcPr>
          <w:p w14:paraId="1F8EB3B4"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4090CC5E"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0DFD1309"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0</w:t>
            </w:r>
          </w:p>
        </w:tc>
      </w:tr>
      <w:tr w:rsidR="00451EC5" w:rsidRPr="00CC3710" w14:paraId="2B565279"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03FAA13F" w14:textId="77777777" w:rsidR="00451EC5" w:rsidRPr="00CC3710" w:rsidRDefault="00451EC5" w:rsidP="00451EC5">
            <w:pPr>
              <w:spacing w:after="0" w:line="240" w:lineRule="auto"/>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Други</w:t>
            </w:r>
          </w:p>
        </w:tc>
        <w:tc>
          <w:tcPr>
            <w:tcW w:w="1136" w:type="dxa"/>
            <w:tcBorders>
              <w:top w:val="nil"/>
              <w:left w:val="nil"/>
              <w:bottom w:val="single" w:sz="8" w:space="0" w:color="auto"/>
              <w:right w:val="single" w:sz="8" w:space="0" w:color="auto"/>
            </w:tcBorders>
            <w:shd w:val="clear" w:color="auto" w:fill="auto"/>
            <w:vAlign w:val="center"/>
            <w:hideMark/>
          </w:tcPr>
          <w:p w14:paraId="4108929A"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00ECF7F0"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1DF06B6F"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7 692</w:t>
            </w:r>
          </w:p>
        </w:tc>
      </w:tr>
      <w:tr w:rsidR="00451EC5" w:rsidRPr="00CC3710" w14:paraId="32E974D1"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29A6C66F" w14:textId="77777777" w:rsidR="00451EC5" w:rsidRPr="00CC3710" w:rsidRDefault="00451EC5" w:rsidP="00451EC5">
            <w:pPr>
              <w:spacing w:after="0" w:line="240" w:lineRule="auto"/>
              <w:jc w:val="both"/>
              <w:rPr>
                <w:rFonts w:ascii="Times New Roman" w:eastAsia="Times New Roman" w:hAnsi="Times New Roman" w:cs="Times New Roman"/>
                <w:b/>
                <w:bCs/>
                <w:i/>
                <w:iCs/>
                <w:color w:val="000000" w:themeColor="text1"/>
                <w:lang w:eastAsia="bg-BG"/>
              </w:rPr>
            </w:pPr>
            <w:r w:rsidRPr="00CC3710">
              <w:rPr>
                <w:rFonts w:ascii="Times New Roman" w:eastAsia="Times New Roman" w:hAnsi="Times New Roman" w:cs="Times New Roman"/>
                <w:b/>
                <w:bCs/>
                <w:i/>
                <w:iCs/>
                <w:color w:val="000000" w:themeColor="text1"/>
                <w:lang w:eastAsia="bg-BG"/>
              </w:rPr>
              <w:t>Помощи, дарения и други безвъзмездно получени суми</w:t>
            </w:r>
          </w:p>
        </w:tc>
        <w:tc>
          <w:tcPr>
            <w:tcW w:w="1136" w:type="dxa"/>
            <w:tcBorders>
              <w:top w:val="nil"/>
              <w:left w:val="nil"/>
              <w:bottom w:val="single" w:sz="8" w:space="0" w:color="auto"/>
              <w:right w:val="single" w:sz="8" w:space="0" w:color="auto"/>
            </w:tcBorders>
            <w:shd w:val="clear" w:color="auto" w:fill="auto"/>
            <w:vAlign w:val="center"/>
            <w:hideMark/>
          </w:tcPr>
          <w:p w14:paraId="7E1763AE" w14:textId="77777777" w:rsidR="00451EC5" w:rsidRPr="00CC3710" w:rsidRDefault="00451EC5" w:rsidP="00451EC5">
            <w:pPr>
              <w:spacing w:after="0" w:line="240" w:lineRule="auto"/>
              <w:jc w:val="right"/>
              <w:rPr>
                <w:rFonts w:ascii="Times New Roman" w:eastAsia="Times New Roman" w:hAnsi="Times New Roman" w:cs="Times New Roman"/>
                <w:b/>
                <w:color w:val="000000" w:themeColor="text1"/>
                <w:lang w:eastAsia="bg-BG"/>
              </w:rPr>
            </w:pPr>
            <w:r w:rsidRPr="00CC3710">
              <w:rPr>
                <w:rFonts w:ascii="Times New Roman" w:eastAsia="Times New Roman" w:hAnsi="Times New Roman" w:cs="Times New Roman"/>
                <w:b/>
                <w:color w:val="000000" w:themeColor="text1"/>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257FA1D" w14:textId="77777777" w:rsidR="00451EC5" w:rsidRPr="00CC3710" w:rsidRDefault="00451EC5" w:rsidP="00451EC5">
            <w:pPr>
              <w:spacing w:after="0" w:line="240" w:lineRule="auto"/>
              <w:jc w:val="right"/>
              <w:rPr>
                <w:rFonts w:ascii="Times New Roman" w:eastAsia="Times New Roman" w:hAnsi="Times New Roman" w:cs="Times New Roman"/>
                <w:b/>
                <w:color w:val="000000" w:themeColor="text1"/>
                <w:lang w:eastAsia="bg-BG"/>
              </w:rPr>
            </w:pPr>
            <w:r w:rsidRPr="00CC3710">
              <w:rPr>
                <w:rFonts w:ascii="Times New Roman" w:eastAsia="Times New Roman" w:hAnsi="Times New Roman" w:cs="Times New Roman"/>
                <w:b/>
                <w:color w:val="000000" w:themeColor="text1"/>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64232258" w14:textId="77777777" w:rsidR="00451EC5" w:rsidRPr="00CC3710" w:rsidRDefault="00451EC5" w:rsidP="00451EC5">
            <w:pPr>
              <w:spacing w:after="0" w:line="240" w:lineRule="auto"/>
              <w:jc w:val="right"/>
              <w:rPr>
                <w:rFonts w:ascii="Times New Roman" w:eastAsia="Times New Roman" w:hAnsi="Times New Roman" w:cs="Times New Roman"/>
                <w:b/>
                <w:color w:val="000000" w:themeColor="text1"/>
                <w:lang w:eastAsia="bg-BG"/>
              </w:rPr>
            </w:pPr>
            <w:r w:rsidRPr="00CC3710">
              <w:rPr>
                <w:rFonts w:ascii="Times New Roman" w:eastAsia="Times New Roman" w:hAnsi="Times New Roman" w:cs="Times New Roman"/>
                <w:b/>
                <w:color w:val="000000" w:themeColor="text1"/>
                <w:lang w:eastAsia="bg-BG"/>
              </w:rPr>
              <w:t>0</w:t>
            </w:r>
          </w:p>
        </w:tc>
      </w:tr>
    </w:tbl>
    <w:p w14:paraId="5CE01602" w14:textId="77777777" w:rsidR="00451EC5" w:rsidRPr="00CC3710" w:rsidRDefault="00451EC5" w:rsidP="00745CD0">
      <w:pPr>
        <w:shd w:val="clear" w:color="auto" w:fill="FFFFFF"/>
        <w:spacing w:after="0" w:line="276" w:lineRule="auto"/>
        <w:ind w:right="14" w:firstLine="851"/>
        <w:jc w:val="both"/>
        <w:rPr>
          <w:color w:val="000000" w:themeColor="text1"/>
          <w:sz w:val="24"/>
        </w:rPr>
      </w:pPr>
      <w:r w:rsidRPr="00CC3710">
        <w:rPr>
          <w:color w:val="000000" w:themeColor="text1"/>
          <w:sz w:val="24"/>
        </w:rPr>
        <w:t xml:space="preserve"> </w:t>
      </w:r>
    </w:p>
    <w:p w14:paraId="03012741" w14:textId="64A05E22" w:rsidR="00451EC5" w:rsidRPr="00CC3710" w:rsidRDefault="00451EC5" w:rsidP="00B71C99">
      <w:pPr>
        <w:shd w:val="clear" w:color="auto" w:fill="FFFFFF"/>
        <w:spacing w:after="0" w:line="276" w:lineRule="auto"/>
        <w:ind w:right="11" w:firstLine="851"/>
        <w:jc w:val="both"/>
        <w:rPr>
          <w:rFonts w:ascii="Times New Roman" w:eastAsia="Batang" w:hAnsi="Times New Roman" w:cs="Times New Roman"/>
          <w:color w:val="000000" w:themeColor="text1"/>
          <w:sz w:val="24"/>
          <w:szCs w:val="24"/>
          <w:lang w:eastAsia="bg-BG"/>
        </w:rPr>
      </w:pPr>
      <w:r w:rsidRPr="00CC3710">
        <w:rPr>
          <w:rFonts w:ascii="Times New Roman" w:hAnsi="Times New Roman" w:cs="Times New Roman"/>
          <w:color w:val="000000" w:themeColor="text1"/>
          <w:sz w:val="24"/>
          <w:szCs w:val="24"/>
        </w:rPr>
        <w:t xml:space="preserve">Основната част от приходите, които постъпват в </w:t>
      </w:r>
      <w:r w:rsidRPr="00CC3710">
        <w:rPr>
          <w:rFonts w:ascii="Times New Roman" w:eastAsia="Batang" w:hAnsi="Times New Roman" w:cs="Times New Roman"/>
          <w:color w:val="000000" w:themeColor="text1"/>
          <w:sz w:val="24"/>
          <w:szCs w:val="24"/>
          <w:lang w:eastAsia="bg-BG"/>
        </w:rPr>
        <w:t xml:space="preserve">Комисия за защита на конкуренцията, са формирани от платени глоби и имуществени санкции по Закона за </w:t>
      </w:r>
      <w:r w:rsidRPr="00CC3710">
        <w:rPr>
          <w:rFonts w:ascii="Times New Roman" w:eastAsia="Batang" w:hAnsi="Times New Roman" w:cs="Times New Roman"/>
          <w:color w:val="000000" w:themeColor="text1"/>
          <w:sz w:val="24"/>
          <w:szCs w:val="24"/>
          <w:lang w:eastAsia="bg-BG"/>
        </w:rPr>
        <w:lastRenderedPageBreak/>
        <w:t xml:space="preserve">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p>
    <w:p w14:paraId="5E4B9379" w14:textId="77777777" w:rsidR="00451EC5" w:rsidRPr="00CC3710" w:rsidRDefault="00451EC5" w:rsidP="00451EC5">
      <w:pPr>
        <w:shd w:val="clear" w:color="auto" w:fill="FFFFFF"/>
        <w:spacing w:before="5" w:after="0" w:line="276" w:lineRule="auto"/>
        <w:ind w:left="10" w:right="14" w:firstLine="851"/>
        <w:jc w:val="both"/>
        <w:rPr>
          <w:rFonts w:ascii="Times New Roman" w:eastAsia="Batang" w:hAnsi="Times New Roman" w:cs="Times New Roman"/>
          <w:color w:val="000000" w:themeColor="text1"/>
          <w:sz w:val="24"/>
          <w:szCs w:val="24"/>
          <w:lang w:eastAsia="bg-BG"/>
        </w:rPr>
      </w:pPr>
    </w:p>
    <w:p w14:paraId="14655EE8" w14:textId="77777777" w:rsidR="00451EC5" w:rsidRPr="00CC3710" w:rsidRDefault="00451EC5" w:rsidP="00451EC5">
      <w:pPr>
        <w:numPr>
          <w:ilvl w:val="0"/>
          <w:numId w:val="23"/>
        </w:numPr>
        <w:tabs>
          <w:tab w:val="left" w:pos="709"/>
          <w:tab w:val="left" w:pos="851"/>
          <w:tab w:val="left" w:pos="993"/>
          <w:tab w:val="left" w:pos="1276"/>
        </w:tabs>
        <w:spacing w:after="0" w:line="276" w:lineRule="auto"/>
        <w:jc w:val="both"/>
        <w:rPr>
          <w:rFonts w:ascii="Times New Roman" w:eastAsia="Batang" w:hAnsi="Times New Roman" w:cs="Times New Roman"/>
          <w:b/>
          <w:color w:val="000000" w:themeColor="text1"/>
          <w:sz w:val="24"/>
          <w:szCs w:val="24"/>
          <w:lang w:eastAsia="bg-BG"/>
        </w:rPr>
      </w:pPr>
      <w:r w:rsidRPr="00CC3710">
        <w:rPr>
          <w:rFonts w:ascii="Times New Roman" w:eastAsia="Batang" w:hAnsi="Times New Roman" w:cs="Times New Roman"/>
          <w:b/>
          <w:color w:val="000000" w:themeColor="text1"/>
          <w:sz w:val="24"/>
          <w:szCs w:val="24"/>
          <w:lang w:eastAsia="bg-BG"/>
        </w:rPr>
        <w:t>1. Приходи от държавни такси</w:t>
      </w:r>
    </w:p>
    <w:p w14:paraId="0FF69B83" w14:textId="77777777" w:rsidR="00451EC5" w:rsidRPr="00CC3710" w:rsidRDefault="00451EC5" w:rsidP="00451EC5">
      <w:pPr>
        <w:tabs>
          <w:tab w:val="left" w:pos="851"/>
          <w:tab w:val="left" w:pos="993"/>
        </w:tabs>
        <w:spacing w:after="0" w:line="276" w:lineRule="auto"/>
        <w:ind w:left="349" w:firstLine="502"/>
        <w:jc w:val="both"/>
        <w:rPr>
          <w:rFonts w:ascii="Times New Roman" w:eastAsia="Batang" w:hAnsi="Times New Roman" w:cs="Times New Roman"/>
          <w:b/>
          <w:color w:val="000000" w:themeColor="text1"/>
          <w:sz w:val="24"/>
          <w:szCs w:val="24"/>
          <w:lang w:eastAsia="bg-BG"/>
        </w:rPr>
      </w:pPr>
      <w:r w:rsidRPr="00CC3710">
        <w:rPr>
          <w:rFonts w:ascii="Times New Roman" w:eastAsia="Batang" w:hAnsi="Times New Roman" w:cs="Times New Roman"/>
          <w:color w:val="000000" w:themeColor="text1"/>
          <w:sz w:val="24"/>
          <w:szCs w:val="24"/>
          <w:lang w:eastAsia="bg-BG"/>
        </w:rPr>
        <w:t>Държавните такси се събират на основание:</w:t>
      </w:r>
    </w:p>
    <w:p w14:paraId="02B8B108" w14:textId="77777777" w:rsidR="00451EC5" w:rsidRPr="00CC3710" w:rsidRDefault="00451EC5" w:rsidP="00451EC5">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r w:rsidRPr="00CC3710">
        <w:rPr>
          <w:rFonts w:ascii="Times New Roman" w:eastAsia="Batang" w:hAnsi="Times New Roman" w:cs="Times New Roman"/>
          <w:color w:val="000000" w:themeColor="text1"/>
          <w:sz w:val="24"/>
          <w:szCs w:val="24"/>
          <w:lang w:eastAsia="bg-BG"/>
        </w:rPr>
        <w:tab/>
        <w:t>- Тарифа за таксите, които се събират от Комисията за защита на конкуренцията по Закона за защита на конкуренцията (приета с ПМС № 180 от 10.08.1998 г. обн. ДВ. бр. 95 от 14.08.1998 г., посл. изм. ДВ, бр. 70 от 24.08.2018 г.);</w:t>
      </w:r>
    </w:p>
    <w:p w14:paraId="026C3B7A" w14:textId="77777777" w:rsidR="00451EC5" w:rsidRPr="00CC3710" w:rsidRDefault="00451EC5" w:rsidP="00451EC5">
      <w:pPr>
        <w:tabs>
          <w:tab w:val="left" w:pos="851"/>
          <w:tab w:val="left" w:pos="1134"/>
          <w:tab w:val="left" w:pos="1276"/>
          <w:tab w:val="left" w:pos="1418"/>
        </w:tabs>
        <w:spacing w:after="0" w:line="276" w:lineRule="auto"/>
        <w:ind w:firstLine="851"/>
        <w:jc w:val="both"/>
        <w:rPr>
          <w:rFonts w:ascii="Times New Roman" w:eastAsia="Batang" w:hAnsi="Times New Roman" w:cs="Times New Roman"/>
          <w:color w:val="000000" w:themeColor="text1"/>
          <w:sz w:val="24"/>
          <w:szCs w:val="24"/>
          <w:lang w:eastAsia="bg-BG"/>
        </w:rPr>
      </w:pPr>
      <w:r w:rsidRPr="00CC3710">
        <w:rPr>
          <w:rFonts w:ascii="Times New Roman" w:eastAsia="Batang" w:hAnsi="Times New Roman" w:cs="Times New Roman"/>
          <w:color w:val="000000" w:themeColor="text1"/>
          <w:sz w:val="24"/>
          <w:szCs w:val="24"/>
          <w:lang w:eastAsia="bg-BG"/>
        </w:rPr>
        <w:tab/>
        <w:t>-  Тарифа за таксите, които се събират за производствата по глава двадесет и седма от Закона за обществените поръчки пред Комисията за защита на конкуренцията и пред Върховния административен съд (приета с ПМС № 73 от 05.04.2016 г., обн., ДВ, бр. 28 от 8.04.2016 г., в сила от 15.04.2016 г., доп. бр. 70 от 24.08.2018 г.) и</w:t>
      </w:r>
    </w:p>
    <w:p w14:paraId="0D327A50" w14:textId="77777777" w:rsidR="00451EC5" w:rsidRPr="00CC3710" w:rsidRDefault="00451EC5" w:rsidP="00451EC5">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r w:rsidRPr="00CC3710">
        <w:rPr>
          <w:rFonts w:ascii="Times New Roman" w:eastAsia="Batang" w:hAnsi="Times New Roman" w:cs="Times New Roman"/>
          <w:color w:val="000000" w:themeColor="text1"/>
          <w:sz w:val="24"/>
          <w:szCs w:val="24"/>
          <w:lang w:eastAsia="bg-BG"/>
        </w:rPr>
        <w:tab/>
        <w:t xml:space="preserve">-  Тарифа за таксите, които се събират в производства по глава шеста от Закона за концесиите пред Комисията за защита на конкуренцията и пред Върховния административен съд (приета с ПМС № 177 от 20.08.2018 г., обн. ДВ бр. 70 от 24.08.2018 г., изм. и доп. бр.107 от 28.12.2018 г., в сила от 01.01.2019 г.). </w:t>
      </w:r>
    </w:p>
    <w:p w14:paraId="648B0202" w14:textId="77777777" w:rsidR="00451EC5" w:rsidRPr="00CC3710" w:rsidRDefault="00451EC5" w:rsidP="00451EC5">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r w:rsidRPr="00CC3710">
        <w:rPr>
          <w:rFonts w:ascii="Times New Roman" w:eastAsia="Batang" w:hAnsi="Times New Roman" w:cs="Times New Roman"/>
          <w:color w:val="000000" w:themeColor="text1"/>
          <w:sz w:val="24"/>
          <w:szCs w:val="24"/>
          <w:lang w:eastAsia="bg-BG"/>
        </w:rPr>
        <w:t xml:space="preserve">За първото полугодие на 2021 г. отчетените приходи от такси са в размер на 1 549 007 лв., което представлява 38,73 % от планираните по този параграф приходи. </w:t>
      </w:r>
    </w:p>
    <w:p w14:paraId="43D8ECB9" w14:textId="5D2E29E3" w:rsidR="00451EC5" w:rsidRPr="00CC3710" w:rsidRDefault="00451EC5" w:rsidP="00451EC5">
      <w:pPr>
        <w:tabs>
          <w:tab w:val="left" w:pos="851"/>
        </w:tabs>
        <w:spacing w:after="0" w:line="276" w:lineRule="auto"/>
        <w:ind w:firstLine="851"/>
        <w:jc w:val="both"/>
        <w:rPr>
          <w:rFonts w:ascii="Times New Roman" w:eastAsia="Batang" w:hAnsi="Times New Roman" w:cs="Times New Roman"/>
          <w:color w:val="000000" w:themeColor="text1"/>
          <w:sz w:val="24"/>
          <w:szCs w:val="24"/>
          <w:lang w:eastAsia="bg-BG"/>
        </w:rPr>
      </w:pPr>
      <w:r w:rsidRPr="00CC3710">
        <w:rPr>
          <w:rFonts w:ascii="Times New Roman" w:eastAsia="Batang" w:hAnsi="Times New Roman" w:cs="Times New Roman"/>
          <w:color w:val="000000" w:themeColor="text1"/>
          <w:sz w:val="24"/>
          <w:szCs w:val="24"/>
          <w:lang w:eastAsia="bg-BG"/>
        </w:rPr>
        <w:t xml:space="preserve">Сравнително ниският процент на събраните приходи от такси се дължи на малкия брой подадени жалби през периода. </w:t>
      </w:r>
      <w:r w:rsidRPr="00CC3710">
        <w:rPr>
          <w:rFonts w:ascii="Times New Roman" w:eastAsia="MS Mincho" w:hAnsi="Times New Roman" w:cs="Times New Roman"/>
          <w:color w:val="000000" w:themeColor="text1"/>
          <w:sz w:val="24"/>
          <w:szCs w:val="24"/>
          <w:lang w:eastAsia="bg-BG"/>
        </w:rPr>
        <w:t>Причините за това могат да бъдат търсени най-вече в намаляване на икономическата дейност в стр</w:t>
      </w:r>
      <w:r w:rsidR="00246C54" w:rsidRPr="00CC3710">
        <w:rPr>
          <w:rFonts w:ascii="Times New Roman" w:eastAsia="MS Mincho" w:hAnsi="Times New Roman" w:cs="Times New Roman"/>
          <w:color w:val="000000" w:themeColor="text1"/>
          <w:sz w:val="24"/>
          <w:szCs w:val="24"/>
          <w:lang w:eastAsia="bg-BG"/>
        </w:rPr>
        <w:t>аната, предизвикано от кризата настъпила поради епидемията  от  COVID-19.</w:t>
      </w:r>
    </w:p>
    <w:p w14:paraId="73FE4F58" w14:textId="77777777" w:rsidR="00451EC5" w:rsidRPr="00CC3710" w:rsidRDefault="00451EC5" w:rsidP="00451EC5">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p>
    <w:p w14:paraId="7E36D083" w14:textId="77777777" w:rsidR="00451EC5" w:rsidRPr="00CC3710" w:rsidRDefault="00451EC5" w:rsidP="00451EC5">
      <w:pPr>
        <w:numPr>
          <w:ilvl w:val="1"/>
          <w:numId w:val="2"/>
        </w:numPr>
        <w:tabs>
          <w:tab w:val="left" w:pos="851"/>
          <w:tab w:val="left" w:pos="993"/>
          <w:tab w:val="left" w:pos="1276"/>
        </w:tabs>
        <w:spacing w:after="0" w:line="276" w:lineRule="auto"/>
        <w:ind w:hanging="578"/>
        <w:jc w:val="both"/>
        <w:rPr>
          <w:rFonts w:ascii="Times New Roman" w:eastAsia="Batang" w:hAnsi="Times New Roman" w:cs="Times New Roman"/>
          <w:b/>
          <w:color w:val="000000" w:themeColor="text1"/>
          <w:sz w:val="24"/>
          <w:szCs w:val="24"/>
          <w:lang w:eastAsia="bg-BG"/>
        </w:rPr>
      </w:pPr>
      <w:r w:rsidRPr="00CC3710">
        <w:rPr>
          <w:rFonts w:ascii="Times New Roman" w:eastAsia="Batang" w:hAnsi="Times New Roman" w:cs="Times New Roman"/>
          <w:b/>
          <w:color w:val="000000" w:themeColor="text1"/>
          <w:sz w:val="24"/>
          <w:szCs w:val="24"/>
          <w:lang w:eastAsia="bg-BG"/>
        </w:rPr>
        <w:t xml:space="preserve"> Приходи от имуществени санкции </w:t>
      </w:r>
    </w:p>
    <w:p w14:paraId="17EA2103" w14:textId="77777777" w:rsidR="00451EC5" w:rsidRPr="00CC3710" w:rsidRDefault="00451EC5" w:rsidP="00451EC5">
      <w:pPr>
        <w:tabs>
          <w:tab w:val="left" w:pos="993"/>
        </w:tabs>
        <w:spacing w:after="0" w:line="240" w:lineRule="auto"/>
        <w:ind w:firstLine="708"/>
        <w:jc w:val="both"/>
        <w:rPr>
          <w:rFonts w:ascii="Times New Roman" w:eastAsia="Batang" w:hAnsi="Times New Roman" w:cs="Times New Roman"/>
          <w:color w:val="000000" w:themeColor="text1"/>
          <w:sz w:val="24"/>
          <w:szCs w:val="24"/>
          <w:lang w:eastAsia="bg-BG"/>
        </w:rPr>
      </w:pPr>
      <w:r w:rsidRPr="00CC3710">
        <w:rPr>
          <w:rFonts w:ascii="Times New Roman" w:hAnsi="Times New Roman" w:cs="Times New Roman"/>
          <w:color w:val="000000" w:themeColor="text1"/>
          <w:sz w:val="24"/>
          <w:szCs w:val="24"/>
        </w:rPr>
        <w:t xml:space="preserve">   Събраните </w:t>
      </w:r>
      <w:r w:rsidRPr="00CC3710">
        <w:rPr>
          <w:rFonts w:ascii="Times New Roman" w:eastAsia="Batang" w:hAnsi="Times New Roman" w:cs="Times New Roman"/>
          <w:color w:val="000000" w:themeColor="text1"/>
          <w:sz w:val="24"/>
          <w:szCs w:val="24"/>
          <w:lang w:eastAsia="bg-BG"/>
        </w:rPr>
        <w:t xml:space="preserve">към 30.06.2021 г. </w:t>
      </w:r>
      <w:r w:rsidRPr="00CC3710">
        <w:rPr>
          <w:rFonts w:ascii="Times New Roman" w:hAnsi="Times New Roman" w:cs="Times New Roman"/>
          <w:color w:val="000000" w:themeColor="text1"/>
          <w:sz w:val="24"/>
          <w:szCs w:val="24"/>
        </w:rPr>
        <w:t xml:space="preserve">парични вземания, произтичащи от имуществени санкции и глоби, наложени с влезли в сила решения на Комисията, са в размер на </w:t>
      </w:r>
      <w:r w:rsidRPr="00CC3710">
        <w:rPr>
          <w:rFonts w:ascii="Times New Roman" w:eastAsia="Batang" w:hAnsi="Times New Roman" w:cs="Times New Roman"/>
          <w:color w:val="000000" w:themeColor="text1"/>
          <w:sz w:val="24"/>
          <w:szCs w:val="24"/>
          <w:lang w:eastAsia="bg-BG"/>
        </w:rPr>
        <w:t xml:space="preserve"> 6 962 603 лв., което надхвърля с 4 962 603 лв. планираните приходи по този параграф. </w:t>
      </w:r>
    </w:p>
    <w:p w14:paraId="0C012777" w14:textId="6DA34A55" w:rsidR="00451EC5" w:rsidRPr="00CC3710" w:rsidRDefault="00451EC5" w:rsidP="00451EC5">
      <w:pPr>
        <w:spacing w:after="0" w:line="276" w:lineRule="auto"/>
        <w:ind w:firstLine="851"/>
        <w:jc w:val="both"/>
        <w:rPr>
          <w:rFonts w:ascii="Times New Roman" w:hAnsi="Times New Roman" w:cs="Times New Roman"/>
          <w:color w:val="000000" w:themeColor="text1"/>
          <w:sz w:val="24"/>
          <w:szCs w:val="24"/>
        </w:rPr>
      </w:pPr>
      <w:r w:rsidRPr="00CC3710">
        <w:rPr>
          <w:rFonts w:ascii="Times New Roman" w:hAnsi="Times New Roman" w:cs="Times New Roman"/>
          <w:color w:val="000000" w:themeColor="text1"/>
          <w:sz w:val="24"/>
          <w:szCs w:val="24"/>
        </w:rPr>
        <w:t xml:space="preserve">Същественият размер на събраните вземания, произтичащи от влезли в сила решения на Комисията, се дължи на няколко обстоятелства. На първо място бе повишена успеваемостта при съдебното обжалване на актовете на КЗК и през последните години бяха потвърдени наложени значителни по размер санкции, възлизащи общо на няколко милиона лева. Най-голямата по размер събрана имуществена санкция възлиза на приблизително 4,2 млн. лева. Върховният административен съд потвърди законосъобразността и на по-голям брой актове на КЗК, с които са наложени по-малки по размер имуществени санкции и глоби, което също дава отражение върху общата сума </w:t>
      </w:r>
      <w:r w:rsidR="00246C54" w:rsidRPr="00CC3710">
        <w:rPr>
          <w:rFonts w:ascii="Times New Roman" w:hAnsi="Times New Roman" w:cs="Times New Roman"/>
          <w:color w:val="000000" w:themeColor="text1"/>
          <w:sz w:val="24"/>
          <w:szCs w:val="24"/>
        </w:rPr>
        <w:t xml:space="preserve">на </w:t>
      </w:r>
      <w:r w:rsidRPr="00CC3710">
        <w:rPr>
          <w:rFonts w:ascii="Times New Roman" w:hAnsi="Times New Roman" w:cs="Times New Roman"/>
          <w:color w:val="000000" w:themeColor="text1"/>
          <w:sz w:val="24"/>
          <w:szCs w:val="24"/>
        </w:rPr>
        <w:t>приходите, формирани от тяхното събиране. Сл</w:t>
      </w:r>
      <w:r w:rsidR="00246C54" w:rsidRPr="00CC3710">
        <w:rPr>
          <w:rFonts w:ascii="Times New Roman" w:hAnsi="Times New Roman" w:cs="Times New Roman"/>
          <w:color w:val="000000" w:themeColor="text1"/>
          <w:sz w:val="24"/>
          <w:szCs w:val="24"/>
        </w:rPr>
        <w:t>едва да бъде отчетен и факта, че с</w:t>
      </w:r>
      <w:r w:rsidRPr="00CC3710">
        <w:rPr>
          <w:rFonts w:ascii="Times New Roman" w:hAnsi="Times New Roman" w:cs="Times New Roman"/>
          <w:color w:val="000000" w:themeColor="text1"/>
          <w:sz w:val="24"/>
          <w:szCs w:val="24"/>
        </w:rPr>
        <w:t xml:space="preserve"> цел </w:t>
      </w:r>
      <w:r w:rsidR="00246C54" w:rsidRPr="00CC3710">
        <w:rPr>
          <w:rFonts w:ascii="Times New Roman" w:hAnsi="Times New Roman" w:cs="Times New Roman"/>
          <w:color w:val="000000" w:themeColor="text1"/>
          <w:sz w:val="24"/>
          <w:szCs w:val="24"/>
        </w:rPr>
        <w:t>повишаване</w:t>
      </w:r>
      <w:r w:rsidRPr="00CC3710">
        <w:rPr>
          <w:rFonts w:ascii="Times New Roman" w:hAnsi="Times New Roman" w:cs="Times New Roman"/>
          <w:color w:val="000000" w:themeColor="text1"/>
          <w:sz w:val="24"/>
          <w:szCs w:val="24"/>
        </w:rPr>
        <w:t xml:space="preserve"> събираемостта на своите вземания и постъпленията в държавния бюджет, Комисията започна да възлага принудителното им събиране на частни съдебни изпълнители,</w:t>
      </w:r>
      <w:r w:rsidR="00246C54" w:rsidRPr="00CC3710">
        <w:rPr>
          <w:rFonts w:ascii="Times New Roman" w:hAnsi="Times New Roman" w:cs="Times New Roman"/>
          <w:color w:val="000000" w:themeColor="text1"/>
          <w:sz w:val="24"/>
          <w:szCs w:val="24"/>
        </w:rPr>
        <w:t xml:space="preserve"> което допринесе за съществено </w:t>
      </w:r>
      <w:r w:rsidRPr="00CC3710">
        <w:rPr>
          <w:rFonts w:ascii="Times New Roman" w:hAnsi="Times New Roman" w:cs="Times New Roman"/>
          <w:color w:val="000000" w:themeColor="text1"/>
          <w:sz w:val="24"/>
          <w:szCs w:val="24"/>
        </w:rPr>
        <w:t>увеличение</w:t>
      </w:r>
      <w:r w:rsidR="00246C54" w:rsidRPr="00CC3710">
        <w:rPr>
          <w:rFonts w:ascii="Times New Roman" w:hAnsi="Times New Roman" w:cs="Times New Roman"/>
          <w:color w:val="000000" w:themeColor="text1"/>
          <w:sz w:val="24"/>
          <w:szCs w:val="24"/>
        </w:rPr>
        <w:t xml:space="preserve"> </w:t>
      </w:r>
      <w:r w:rsidRPr="00CC3710">
        <w:rPr>
          <w:rFonts w:ascii="Times New Roman" w:hAnsi="Times New Roman" w:cs="Times New Roman"/>
          <w:color w:val="000000" w:themeColor="text1"/>
          <w:sz w:val="24"/>
          <w:szCs w:val="24"/>
        </w:rPr>
        <w:t>на събраните приходи.</w:t>
      </w:r>
    </w:p>
    <w:p w14:paraId="2353BCA0" w14:textId="77777777" w:rsidR="00451EC5" w:rsidRPr="00CC3710" w:rsidRDefault="00451EC5" w:rsidP="00451EC5">
      <w:pPr>
        <w:spacing w:after="0" w:line="276" w:lineRule="auto"/>
        <w:ind w:firstLine="851"/>
        <w:jc w:val="both"/>
        <w:rPr>
          <w:rFonts w:ascii="Times New Roman" w:hAnsi="Times New Roman" w:cs="Times New Roman"/>
          <w:color w:val="000000" w:themeColor="text1"/>
          <w:sz w:val="24"/>
          <w:szCs w:val="24"/>
        </w:rPr>
      </w:pPr>
      <w:r w:rsidRPr="00CC3710">
        <w:rPr>
          <w:rFonts w:ascii="Times New Roman" w:hAnsi="Times New Roman" w:cs="Times New Roman"/>
          <w:color w:val="000000" w:themeColor="text1"/>
          <w:sz w:val="24"/>
          <w:szCs w:val="24"/>
        </w:rPr>
        <w:t xml:space="preserve">Посочените отчетни данни показват една изключително висока успеваемост при събирането на приходи от имуществени санкции и глоби, но въпреки това тази успеваемост е трудна за прогнозиране, доколкото постигнатият резултат се обуславя на първо място от приключване на съдебното обжалване на актовете на КЗК и </w:t>
      </w:r>
      <w:r w:rsidRPr="00CC3710">
        <w:rPr>
          <w:rFonts w:ascii="Times New Roman" w:hAnsi="Times New Roman" w:cs="Times New Roman"/>
          <w:color w:val="000000" w:themeColor="text1"/>
          <w:sz w:val="24"/>
          <w:szCs w:val="24"/>
        </w:rPr>
        <w:lastRenderedPageBreak/>
        <w:t>произнасянето на съда с окончателно решение, както и от постигнатия резултат след събиране на вземанията по принудителен ред.</w:t>
      </w:r>
    </w:p>
    <w:p w14:paraId="5E780909" w14:textId="77777777" w:rsidR="00451EC5" w:rsidRPr="00CC3710" w:rsidRDefault="00451EC5" w:rsidP="00451EC5">
      <w:pPr>
        <w:spacing w:after="0" w:line="276" w:lineRule="auto"/>
        <w:ind w:firstLine="851"/>
        <w:jc w:val="both"/>
        <w:rPr>
          <w:rFonts w:ascii="Times New Roman" w:eastAsia="Batang" w:hAnsi="Times New Roman" w:cs="Times New Roman"/>
          <w:color w:val="000000" w:themeColor="text1"/>
          <w:sz w:val="24"/>
          <w:szCs w:val="24"/>
          <w:lang w:eastAsia="bg-BG"/>
        </w:rPr>
      </w:pPr>
    </w:p>
    <w:p w14:paraId="3DFF7FFA" w14:textId="77777777" w:rsidR="00451EC5" w:rsidRPr="00CC3710" w:rsidRDefault="00451EC5" w:rsidP="00451EC5">
      <w:pPr>
        <w:numPr>
          <w:ilvl w:val="1"/>
          <w:numId w:val="2"/>
        </w:numPr>
        <w:tabs>
          <w:tab w:val="left" w:pos="1276"/>
        </w:tabs>
        <w:spacing w:after="0" w:line="240" w:lineRule="auto"/>
        <w:ind w:hanging="578"/>
        <w:jc w:val="both"/>
        <w:rPr>
          <w:rFonts w:ascii="Times New Roman" w:eastAsia="Batang" w:hAnsi="Times New Roman" w:cs="Times New Roman"/>
          <w:b/>
          <w:color w:val="000000" w:themeColor="text1"/>
          <w:sz w:val="24"/>
          <w:szCs w:val="24"/>
          <w:lang w:eastAsia="bg-BG"/>
        </w:rPr>
      </w:pPr>
      <w:r w:rsidRPr="00CC3710">
        <w:rPr>
          <w:rFonts w:ascii="Times New Roman" w:eastAsia="Batang" w:hAnsi="Times New Roman" w:cs="Times New Roman"/>
          <w:b/>
          <w:color w:val="000000" w:themeColor="text1"/>
          <w:sz w:val="24"/>
          <w:szCs w:val="24"/>
          <w:lang w:eastAsia="bg-BG"/>
        </w:rPr>
        <w:t xml:space="preserve"> Други текущи приходи</w:t>
      </w:r>
    </w:p>
    <w:p w14:paraId="0DDD6E45" w14:textId="7D67E498" w:rsidR="00451EC5" w:rsidRPr="00CC3710" w:rsidRDefault="00451EC5" w:rsidP="00451EC5">
      <w:pPr>
        <w:shd w:val="clear" w:color="auto" w:fill="FFFFFF"/>
        <w:tabs>
          <w:tab w:val="left" w:pos="0"/>
          <w:tab w:val="left" w:pos="567"/>
          <w:tab w:val="left" w:pos="709"/>
          <w:tab w:val="left" w:pos="851"/>
        </w:tabs>
        <w:spacing w:before="5"/>
        <w:jc w:val="both"/>
        <w:rPr>
          <w:rFonts w:ascii="Times New Roman" w:hAnsi="Times New Roman" w:cs="Times New Roman"/>
          <w:color w:val="000000" w:themeColor="text1"/>
          <w:sz w:val="24"/>
          <w:szCs w:val="24"/>
        </w:rPr>
      </w:pPr>
      <w:r w:rsidRPr="00CC3710">
        <w:rPr>
          <w:rFonts w:ascii="Times New Roman" w:eastAsia="Batang" w:hAnsi="Times New Roman" w:cs="Times New Roman"/>
          <w:color w:val="000000" w:themeColor="text1"/>
          <w:sz w:val="24"/>
          <w:szCs w:val="24"/>
          <w:lang w:eastAsia="bg-BG"/>
        </w:rPr>
        <w:tab/>
      </w:r>
      <w:r w:rsidRPr="00CC3710">
        <w:rPr>
          <w:rFonts w:ascii="Times New Roman" w:eastAsia="Batang" w:hAnsi="Times New Roman" w:cs="Times New Roman"/>
          <w:color w:val="000000" w:themeColor="text1"/>
          <w:sz w:val="24"/>
          <w:szCs w:val="24"/>
          <w:lang w:eastAsia="bg-BG"/>
        </w:rPr>
        <w:tab/>
      </w:r>
      <w:r w:rsidRPr="00CC3710">
        <w:rPr>
          <w:rFonts w:ascii="Times New Roman" w:eastAsia="Batang" w:hAnsi="Times New Roman" w:cs="Times New Roman"/>
          <w:color w:val="000000" w:themeColor="text1"/>
          <w:sz w:val="24"/>
          <w:szCs w:val="24"/>
          <w:lang w:eastAsia="bg-BG"/>
        </w:rPr>
        <w:tab/>
      </w:r>
      <w:r w:rsidRPr="00CC3710">
        <w:rPr>
          <w:rFonts w:ascii="Times New Roman" w:hAnsi="Times New Roman" w:cs="Times New Roman"/>
          <w:color w:val="000000" w:themeColor="text1"/>
          <w:sz w:val="24"/>
          <w:szCs w:val="24"/>
        </w:rPr>
        <w:t>Към 30.06.2021 г. са отчетени 7 600 лв. приходи от юрисконсултски възнаграждения във връзка с дела на КЗК и 92 лв. от преведени осигурителни вноски във връзка с извършени експертизи от вещи лица.</w:t>
      </w:r>
    </w:p>
    <w:p w14:paraId="02DBF562" w14:textId="77777777" w:rsidR="00451EC5" w:rsidRPr="00CC3710" w:rsidRDefault="00451EC5" w:rsidP="00451EC5">
      <w:pPr>
        <w:widowControl w:val="0"/>
        <w:numPr>
          <w:ilvl w:val="0"/>
          <w:numId w:val="2"/>
        </w:numPr>
        <w:tabs>
          <w:tab w:val="left" w:pos="851"/>
        </w:tabs>
        <w:spacing w:after="0" w:line="240" w:lineRule="auto"/>
        <w:jc w:val="both"/>
        <w:rPr>
          <w:rFonts w:ascii="Times New Roman" w:eastAsia="Times New Roman" w:hAnsi="Times New Roman" w:cs="Times New Roman"/>
          <w:b/>
          <w:color w:val="000000" w:themeColor="text1"/>
          <w:sz w:val="24"/>
          <w:szCs w:val="24"/>
          <w:lang w:val="ru-RU"/>
        </w:rPr>
      </w:pPr>
      <w:r w:rsidRPr="00CC3710">
        <w:rPr>
          <w:rFonts w:ascii="Times New Roman" w:eastAsia="Times New Roman" w:hAnsi="Times New Roman" w:cs="Times New Roman"/>
          <w:b/>
          <w:color w:val="000000" w:themeColor="text1"/>
          <w:sz w:val="24"/>
          <w:szCs w:val="24"/>
          <w:lang w:val="ru-RU"/>
        </w:rPr>
        <w:t xml:space="preserve">Отчет на </w:t>
      </w:r>
      <w:r w:rsidRPr="00CC3710">
        <w:rPr>
          <w:rFonts w:ascii="Times New Roman" w:eastAsia="Times New Roman" w:hAnsi="Times New Roman" w:cs="Times New Roman"/>
          <w:b/>
          <w:color w:val="000000" w:themeColor="text1"/>
          <w:sz w:val="24"/>
          <w:szCs w:val="24"/>
        </w:rPr>
        <w:t>разходите</w:t>
      </w:r>
      <w:r w:rsidRPr="00CC3710">
        <w:rPr>
          <w:rFonts w:ascii="Times New Roman" w:eastAsia="Times New Roman" w:hAnsi="Times New Roman" w:cs="Times New Roman"/>
          <w:b/>
          <w:color w:val="000000" w:themeColor="text1"/>
          <w:sz w:val="24"/>
          <w:szCs w:val="24"/>
          <w:lang w:val="ru-RU"/>
        </w:rPr>
        <w:t xml:space="preserve"> </w:t>
      </w:r>
    </w:p>
    <w:p w14:paraId="4B615970" w14:textId="77777777" w:rsidR="00451EC5" w:rsidRPr="00CC3710" w:rsidRDefault="00451EC5" w:rsidP="00451EC5">
      <w:pPr>
        <w:widowControl w:val="0"/>
        <w:tabs>
          <w:tab w:val="left" w:pos="851"/>
        </w:tabs>
        <w:spacing w:after="0" w:line="240" w:lineRule="auto"/>
        <w:ind w:left="1069"/>
        <w:jc w:val="both"/>
        <w:rPr>
          <w:rFonts w:ascii="Times New Roman" w:eastAsia="Times New Roman" w:hAnsi="Times New Roman" w:cs="Times New Roman"/>
          <w:b/>
          <w:color w:val="000000" w:themeColor="text1"/>
          <w:sz w:val="24"/>
          <w:szCs w:val="24"/>
          <w:lang w:val="ru-RU"/>
        </w:rPr>
      </w:pPr>
      <w:r w:rsidRPr="00CC3710">
        <w:rPr>
          <w:rFonts w:ascii="Times New Roman" w:eastAsia="Times New Roman" w:hAnsi="Times New Roman" w:cs="Times New Roman"/>
          <w:b/>
          <w:color w:val="000000" w:themeColor="text1"/>
          <w:sz w:val="24"/>
          <w:szCs w:val="24"/>
          <w:lang w:val="ru-RU"/>
        </w:rPr>
        <w:t xml:space="preserve"> </w:t>
      </w:r>
    </w:p>
    <w:p w14:paraId="15630DB0" w14:textId="3112967F" w:rsidR="004D7985" w:rsidRPr="00CC3710" w:rsidRDefault="00451EC5" w:rsidP="00451EC5">
      <w:pPr>
        <w:spacing w:line="240" w:lineRule="auto"/>
        <w:ind w:firstLine="709"/>
        <w:jc w:val="both"/>
        <w:rPr>
          <w:rFonts w:ascii="Times New Roman" w:hAnsi="Times New Roman" w:cs="Times New Roman"/>
          <w:color w:val="000000" w:themeColor="text1"/>
          <w:sz w:val="24"/>
          <w:szCs w:val="24"/>
        </w:rPr>
      </w:pPr>
      <w:r w:rsidRPr="00CC3710">
        <w:rPr>
          <w:rFonts w:ascii="Times New Roman" w:hAnsi="Times New Roman" w:cs="Times New Roman"/>
          <w:color w:val="000000" w:themeColor="text1"/>
          <w:sz w:val="24"/>
          <w:szCs w:val="24"/>
        </w:rPr>
        <w:t xml:space="preserve">В следващите таблици са представени разходите на Комисия за защита на конкуренцията, в т.ч. и класифицирани по ведомствени параграфи. </w:t>
      </w:r>
    </w:p>
    <w:tbl>
      <w:tblPr>
        <w:tblW w:w="9528" w:type="dxa"/>
        <w:tblCellMar>
          <w:left w:w="70" w:type="dxa"/>
          <w:right w:w="70" w:type="dxa"/>
        </w:tblCellMar>
        <w:tblLook w:val="04A0" w:firstRow="1" w:lastRow="0" w:firstColumn="1" w:lastColumn="0" w:noHBand="0" w:noVBand="1"/>
      </w:tblPr>
      <w:tblGrid>
        <w:gridCol w:w="2156"/>
        <w:gridCol w:w="3514"/>
        <w:gridCol w:w="1280"/>
        <w:gridCol w:w="1272"/>
        <w:gridCol w:w="1280"/>
        <w:gridCol w:w="26"/>
      </w:tblGrid>
      <w:tr w:rsidR="00451EC5" w:rsidRPr="00CC3710" w14:paraId="2FE2BDD8" w14:textId="77777777" w:rsidTr="00745CD0">
        <w:trPr>
          <w:trHeight w:val="315"/>
        </w:trPr>
        <w:tc>
          <w:tcPr>
            <w:tcW w:w="9528" w:type="dxa"/>
            <w:gridSpan w:val="6"/>
            <w:tcBorders>
              <w:top w:val="nil"/>
              <w:left w:val="nil"/>
              <w:bottom w:val="nil"/>
              <w:right w:val="nil"/>
            </w:tcBorders>
            <w:shd w:val="clear" w:color="auto" w:fill="auto"/>
            <w:noWrap/>
            <w:vAlign w:val="center"/>
            <w:hideMark/>
          </w:tcPr>
          <w:p w14:paraId="4571099B" w14:textId="77777777" w:rsidR="00451EC5" w:rsidRPr="00CC3710" w:rsidRDefault="00451EC5" w:rsidP="00451EC5">
            <w:pPr>
              <w:spacing w:after="0" w:line="240" w:lineRule="auto"/>
              <w:jc w:val="both"/>
              <w:rPr>
                <w:rFonts w:ascii="Times New Roman" w:eastAsia="Times New Roman" w:hAnsi="Times New Roman" w:cs="Times New Roman"/>
                <w:b/>
                <w:i/>
                <w:color w:val="000000" w:themeColor="text1"/>
                <w:sz w:val="24"/>
                <w:szCs w:val="24"/>
                <w:lang w:val="en-US" w:eastAsia="bg-BG"/>
              </w:rPr>
            </w:pPr>
          </w:p>
          <w:p w14:paraId="1C8A473E" w14:textId="77777777" w:rsidR="00451EC5" w:rsidRPr="00CC3710" w:rsidRDefault="00451EC5" w:rsidP="00451EC5">
            <w:pPr>
              <w:spacing w:after="0" w:line="240" w:lineRule="auto"/>
              <w:jc w:val="both"/>
              <w:rPr>
                <w:rFonts w:ascii="Arial" w:eastAsia="Times New Roman" w:hAnsi="Arial" w:cs="Arial"/>
                <w:color w:val="000000" w:themeColor="text1"/>
                <w:sz w:val="20"/>
                <w:szCs w:val="20"/>
                <w:lang w:eastAsia="bg-BG"/>
              </w:rPr>
            </w:pPr>
            <w:r w:rsidRPr="00CC3710">
              <w:rPr>
                <w:rFonts w:ascii="Times New Roman" w:eastAsia="Times New Roman" w:hAnsi="Times New Roman" w:cs="Times New Roman"/>
                <w:b/>
                <w:i/>
                <w:color w:val="000000" w:themeColor="text1"/>
                <w:sz w:val="24"/>
                <w:szCs w:val="24"/>
                <w:lang w:eastAsia="bg-BG"/>
              </w:rPr>
              <w:t>Приложение № 2а</w:t>
            </w:r>
            <w:r w:rsidRPr="00CC3710">
              <w:rPr>
                <w:rFonts w:ascii="Arial" w:eastAsia="Times New Roman" w:hAnsi="Arial" w:cs="Arial"/>
                <w:color w:val="000000" w:themeColor="text1"/>
                <w:sz w:val="20"/>
                <w:szCs w:val="20"/>
                <w:lang w:eastAsia="bg-BG"/>
              </w:rPr>
              <w:t xml:space="preserve"> – </w:t>
            </w:r>
            <w:r w:rsidRPr="00CC3710">
              <w:rPr>
                <w:rFonts w:ascii="Times New Roman" w:eastAsia="Times New Roman" w:hAnsi="Times New Roman" w:cs="Times New Roman"/>
                <w:color w:val="000000" w:themeColor="text1"/>
                <w:sz w:val="24"/>
                <w:szCs w:val="24"/>
                <w:lang w:eastAsia="bg-BG"/>
              </w:rPr>
              <w:t>Отчет на разходите по бюджета на ПРБ по функционални области и бюджетни програми</w:t>
            </w:r>
            <w:r w:rsidRPr="00CC3710">
              <w:rPr>
                <w:rFonts w:ascii="Arial" w:eastAsia="Times New Roman" w:hAnsi="Arial" w:cs="Arial"/>
                <w:color w:val="000000" w:themeColor="text1"/>
                <w:sz w:val="20"/>
                <w:szCs w:val="20"/>
                <w:lang w:eastAsia="bg-BG"/>
              </w:rPr>
              <w:t xml:space="preserve"> </w:t>
            </w:r>
          </w:p>
          <w:p w14:paraId="7FDBD762" w14:textId="77777777" w:rsidR="00451EC5" w:rsidRPr="00CC3710" w:rsidRDefault="00451EC5" w:rsidP="00451EC5">
            <w:pPr>
              <w:spacing w:after="0" w:line="240" w:lineRule="auto"/>
              <w:jc w:val="both"/>
              <w:rPr>
                <w:rFonts w:ascii="Times New Roman" w:eastAsia="Times New Roman" w:hAnsi="Times New Roman" w:cs="Times New Roman"/>
                <w:color w:val="000000" w:themeColor="text1"/>
                <w:sz w:val="24"/>
                <w:szCs w:val="24"/>
                <w:lang w:eastAsia="bg-BG"/>
              </w:rPr>
            </w:pPr>
          </w:p>
        </w:tc>
      </w:tr>
      <w:tr w:rsidR="00451EC5" w:rsidRPr="00CC3710" w14:paraId="068CE175" w14:textId="77777777" w:rsidTr="00745CD0">
        <w:trPr>
          <w:gridAfter w:val="1"/>
          <w:wAfter w:w="26" w:type="dxa"/>
          <w:trHeight w:val="1017"/>
        </w:trPr>
        <w:tc>
          <w:tcPr>
            <w:tcW w:w="2156"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2899C908"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Класификационен код</w:t>
            </w:r>
          </w:p>
        </w:tc>
        <w:tc>
          <w:tcPr>
            <w:tcW w:w="3514" w:type="dxa"/>
            <w:tcBorders>
              <w:top w:val="single" w:sz="4" w:space="0" w:color="auto"/>
              <w:left w:val="nil"/>
              <w:bottom w:val="single" w:sz="4" w:space="0" w:color="auto"/>
              <w:right w:val="single" w:sz="4" w:space="0" w:color="auto"/>
            </w:tcBorders>
            <w:shd w:val="clear" w:color="D9D9D9" w:fill="E6E6E6"/>
            <w:vAlign w:val="center"/>
            <w:hideMark/>
          </w:tcPr>
          <w:p w14:paraId="2EC20F46"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 xml:space="preserve">РАЗХОДИ </w:t>
            </w:r>
            <w:r w:rsidRPr="00CC3710">
              <w:rPr>
                <w:rFonts w:ascii="Times New Roman" w:eastAsia="Times New Roman" w:hAnsi="Times New Roman" w:cs="Times New Roman"/>
                <w:b/>
                <w:bCs/>
                <w:color w:val="000000" w:themeColor="text1"/>
                <w:lang w:eastAsia="bg-BG"/>
              </w:rPr>
              <w:br/>
              <w:t>(в лева)</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65D0C253"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Закон</w:t>
            </w:r>
          </w:p>
        </w:tc>
        <w:tc>
          <w:tcPr>
            <w:tcW w:w="1272" w:type="dxa"/>
            <w:tcBorders>
              <w:top w:val="single" w:sz="4" w:space="0" w:color="auto"/>
              <w:left w:val="nil"/>
              <w:bottom w:val="single" w:sz="4" w:space="0" w:color="auto"/>
              <w:right w:val="single" w:sz="4" w:space="0" w:color="auto"/>
            </w:tcBorders>
            <w:shd w:val="clear" w:color="D9D9D9" w:fill="E6E6E6"/>
            <w:vAlign w:val="center"/>
            <w:hideMark/>
          </w:tcPr>
          <w:p w14:paraId="14BBD873"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Уточнен план</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056B75A5"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Отчет</w:t>
            </w:r>
          </w:p>
        </w:tc>
      </w:tr>
      <w:tr w:rsidR="00451EC5" w:rsidRPr="00CC3710" w14:paraId="034735B1" w14:textId="77777777" w:rsidTr="00745CD0">
        <w:trPr>
          <w:gridAfter w:val="1"/>
          <w:wAfter w:w="26" w:type="dxa"/>
          <w:trHeight w:val="315"/>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14:paraId="65B206EA" w14:textId="77777777" w:rsidR="00451EC5" w:rsidRPr="00CC3710" w:rsidRDefault="00451EC5" w:rsidP="00451EC5">
            <w:pPr>
              <w:spacing w:after="0" w:line="240" w:lineRule="auto"/>
              <w:jc w:val="center"/>
              <w:rPr>
                <w:rFonts w:ascii="Times New Roman" w:eastAsia="Times New Roman" w:hAnsi="Times New Roman" w:cs="Times New Roman"/>
                <w:b/>
                <w:color w:val="000000" w:themeColor="text1"/>
                <w:lang w:eastAsia="bg-BG"/>
              </w:rPr>
            </w:pPr>
          </w:p>
          <w:p w14:paraId="79C02ECC" w14:textId="77777777" w:rsidR="00451EC5" w:rsidRPr="00CC3710" w:rsidRDefault="00451EC5" w:rsidP="00451EC5">
            <w:pPr>
              <w:spacing w:after="0" w:line="240" w:lineRule="auto"/>
              <w:jc w:val="center"/>
              <w:rPr>
                <w:rFonts w:ascii="Times New Roman" w:eastAsia="Times New Roman" w:hAnsi="Times New Roman" w:cs="Times New Roman"/>
                <w:b/>
                <w:color w:val="000000" w:themeColor="text1"/>
                <w:lang w:eastAsia="bg-BG"/>
              </w:rPr>
            </w:pPr>
            <w:r w:rsidRPr="00CC3710">
              <w:rPr>
                <w:rFonts w:ascii="Times New Roman" w:eastAsia="Times New Roman" w:hAnsi="Times New Roman" w:cs="Times New Roman"/>
                <w:b/>
                <w:color w:val="000000" w:themeColor="text1"/>
                <w:lang w:eastAsia="bg-BG"/>
              </w:rPr>
              <w:t>4200.00.00</w:t>
            </w:r>
          </w:p>
        </w:tc>
        <w:tc>
          <w:tcPr>
            <w:tcW w:w="3514" w:type="dxa"/>
            <w:tcBorders>
              <w:top w:val="nil"/>
              <w:left w:val="nil"/>
              <w:bottom w:val="single" w:sz="4" w:space="0" w:color="auto"/>
              <w:right w:val="single" w:sz="4" w:space="0" w:color="auto"/>
            </w:tcBorders>
            <w:shd w:val="clear" w:color="auto" w:fill="auto"/>
            <w:noWrap/>
            <w:vAlign w:val="bottom"/>
            <w:hideMark/>
          </w:tcPr>
          <w:p w14:paraId="5CD0489C" w14:textId="77777777" w:rsidR="00451EC5" w:rsidRPr="00CC3710" w:rsidRDefault="00451EC5" w:rsidP="00451EC5">
            <w:pPr>
              <w:spacing w:after="0" w:line="240" w:lineRule="auto"/>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Общо разходи по бюджета на ПРБ</w:t>
            </w:r>
          </w:p>
        </w:tc>
        <w:tc>
          <w:tcPr>
            <w:tcW w:w="1280" w:type="dxa"/>
            <w:tcBorders>
              <w:top w:val="nil"/>
              <w:left w:val="nil"/>
              <w:bottom w:val="single" w:sz="4" w:space="0" w:color="auto"/>
              <w:right w:val="single" w:sz="4" w:space="0" w:color="auto"/>
            </w:tcBorders>
            <w:shd w:val="clear" w:color="auto" w:fill="auto"/>
            <w:noWrap/>
            <w:vAlign w:val="bottom"/>
            <w:hideMark/>
          </w:tcPr>
          <w:p w14:paraId="3D7E764B" w14:textId="77777777" w:rsidR="00451EC5" w:rsidRPr="00CC3710" w:rsidRDefault="00451EC5" w:rsidP="00451EC5">
            <w:pPr>
              <w:spacing w:after="0" w:line="240" w:lineRule="auto"/>
              <w:jc w:val="right"/>
              <w:rPr>
                <w:rFonts w:ascii="Times New Roman" w:eastAsia="Times New Roman" w:hAnsi="Times New Roman" w:cs="Times New Roman"/>
                <w:b/>
                <w:color w:val="000000" w:themeColor="text1"/>
                <w:lang w:eastAsia="bg-BG"/>
              </w:rPr>
            </w:pPr>
            <w:r w:rsidRPr="00CC3710">
              <w:rPr>
                <w:rFonts w:ascii="Times New Roman" w:eastAsia="Times New Roman" w:hAnsi="Times New Roman" w:cs="Times New Roman"/>
                <w:b/>
                <w:color w:val="000000" w:themeColor="text1"/>
                <w:lang w:eastAsia="bg-BG"/>
              </w:rPr>
              <w:t>5 835 400</w:t>
            </w:r>
          </w:p>
        </w:tc>
        <w:tc>
          <w:tcPr>
            <w:tcW w:w="1272" w:type="dxa"/>
            <w:tcBorders>
              <w:top w:val="nil"/>
              <w:left w:val="nil"/>
              <w:bottom w:val="single" w:sz="4" w:space="0" w:color="auto"/>
              <w:right w:val="single" w:sz="4" w:space="0" w:color="auto"/>
            </w:tcBorders>
            <w:shd w:val="clear" w:color="auto" w:fill="auto"/>
            <w:noWrap/>
            <w:vAlign w:val="bottom"/>
            <w:hideMark/>
          </w:tcPr>
          <w:p w14:paraId="378CEB1F" w14:textId="77777777" w:rsidR="00451EC5" w:rsidRPr="00CC3710" w:rsidRDefault="00451EC5" w:rsidP="00451EC5">
            <w:pPr>
              <w:spacing w:after="0" w:line="240" w:lineRule="auto"/>
              <w:jc w:val="right"/>
              <w:rPr>
                <w:rFonts w:ascii="Times New Roman" w:eastAsia="Times New Roman" w:hAnsi="Times New Roman" w:cs="Times New Roman"/>
                <w:b/>
                <w:color w:val="000000" w:themeColor="text1"/>
                <w:lang w:eastAsia="bg-BG"/>
              </w:rPr>
            </w:pPr>
            <w:r w:rsidRPr="00CC3710">
              <w:rPr>
                <w:rFonts w:ascii="Times New Roman" w:eastAsia="Times New Roman" w:hAnsi="Times New Roman" w:cs="Times New Roman"/>
                <w:b/>
                <w:color w:val="000000" w:themeColor="text1"/>
                <w:lang w:eastAsia="bg-BG"/>
              </w:rPr>
              <w:t>5 745 000</w:t>
            </w:r>
          </w:p>
        </w:tc>
        <w:tc>
          <w:tcPr>
            <w:tcW w:w="1280" w:type="dxa"/>
            <w:tcBorders>
              <w:top w:val="nil"/>
              <w:left w:val="nil"/>
              <w:bottom w:val="single" w:sz="4" w:space="0" w:color="auto"/>
              <w:right w:val="single" w:sz="4" w:space="0" w:color="auto"/>
            </w:tcBorders>
            <w:shd w:val="clear" w:color="auto" w:fill="auto"/>
            <w:noWrap/>
            <w:vAlign w:val="bottom"/>
            <w:hideMark/>
          </w:tcPr>
          <w:p w14:paraId="3424CFDE" w14:textId="77777777" w:rsidR="00451EC5" w:rsidRPr="00CC3710" w:rsidRDefault="00451EC5" w:rsidP="00451EC5">
            <w:pPr>
              <w:spacing w:after="0" w:line="240" w:lineRule="auto"/>
              <w:jc w:val="right"/>
              <w:rPr>
                <w:rFonts w:ascii="Times New Roman" w:eastAsia="Times New Roman" w:hAnsi="Times New Roman" w:cs="Times New Roman"/>
                <w:b/>
                <w:color w:val="000000" w:themeColor="text1"/>
                <w:lang w:eastAsia="bg-BG"/>
              </w:rPr>
            </w:pPr>
            <w:r w:rsidRPr="00CC3710">
              <w:rPr>
                <w:rFonts w:ascii="Times New Roman" w:eastAsia="Times New Roman" w:hAnsi="Times New Roman" w:cs="Times New Roman"/>
                <w:b/>
                <w:color w:val="000000" w:themeColor="text1"/>
                <w:lang w:eastAsia="bg-BG"/>
              </w:rPr>
              <w:t>2 378 864</w:t>
            </w:r>
          </w:p>
        </w:tc>
      </w:tr>
      <w:tr w:rsidR="00451EC5" w:rsidRPr="00CC3710" w14:paraId="77624265" w14:textId="77777777" w:rsidTr="00745CD0">
        <w:trPr>
          <w:gridAfter w:val="1"/>
          <w:wAfter w:w="26" w:type="dxa"/>
          <w:trHeight w:val="1260"/>
        </w:trPr>
        <w:tc>
          <w:tcPr>
            <w:tcW w:w="2156" w:type="dxa"/>
            <w:tcBorders>
              <w:top w:val="nil"/>
              <w:left w:val="single" w:sz="4" w:space="0" w:color="auto"/>
              <w:bottom w:val="single" w:sz="4" w:space="0" w:color="auto"/>
              <w:right w:val="single" w:sz="4" w:space="0" w:color="auto"/>
            </w:tcBorders>
            <w:shd w:val="clear" w:color="D9D9D9" w:fill="E6E6E6"/>
            <w:noWrap/>
            <w:vAlign w:val="bottom"/>
            <w:hideMark/>
          </w:tcPr>
          <w:p w14:paraId="5DE38A0F"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4200.01.00</w:t>
            </w:r>
          </w:p>
        </w:tc>
        <w:tc>
          <w:tcPr>
            <w:tcW w:w="3514" w:type="dxa"/>
            <w:tcBorders>
              <w:top w:val="nil"/>
              <w:left w:val="nil"/>
              <w:bottom w:val="single" w:sz="4" w:space="0" w:color="auto"/>
              <w:right w:val="single" w:sz="4" w:space="0" w:color="auto"/>
            </w:tcBorders>
            <w:shd w:val="clear" w:color="D9D9D9" w:fill="E6E6E6"/>
            <w:vAlign w:val="bottom"/>
            <w:hideMark/>
          </w:tcPr>
          <w:p w14:paraId="7D345B95" w14:textId="77777777" w:rsidR="00451EC5" w:rsidRPr="00CC3710" w:rsidRDefault="00451EC5" w:rsidP="00451EC5">
            <w:pPr>
              <w:spacing w:after="0" w:line="240" w:lineRule="auto"/>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D9D9D9" w:fill="E6E6E6"/>
            <w:noWrap/>
            <w:vAlign w:val="bottom"/>
            <w:hideMark/>
          </w:tcPr>
          <w:p w14:paraId="5CAA56D1" w14:textId="77777777" w:rsidR="00451EC5" w:rsidRPr="00CC3710" w:rsidRDefault="00451EC5" w:rsidP="00451EC5">
            <w:pPr>
              <w:spacing w:after="0" w:line="240" w:lineRule="auto"/>
              <w:jc w:val="right"/>
              <w:rPr>
                <w:rFonts w:ascii="Times New Roman" w:eastAsia="Times New Roman" w:hAnsi="Times New Roman" w:cs="Times New Roman"/>
                <w:b/>
                <w:color w:val="000000" w:themeColor="text1"/>
                <w:lang w:eastAsia="bg-BG"/>
              </w:rPr>
            </w:pPr>
            <w:r w:rsidRPr="00CC3710">
              <w:rPr>
                <w:rFonts w:ascii="Times New Roman" w:eastAsia="Times New Roman" w:hAnsi="Times New Roman" w:cs="Times New Roman"/>
                <w:b/>
                <w:color w:val="000000" w:themeColor="text1"/>
                <w:lang w:eastAsia="bg-BG"/>
              </w:rPr>
              <w:t>5 835 400</w:t>
            </w:r>
          </w:p>
        </w:tc>
        <w:tc>
          <w:tcPr>
            <w:tcW w:w="1272" w:type="dxa"/>
            <w:tcBorders>
              <w:top w:val="nil"/>
              <w:left w:val="nil"/>
              <w:bottom w:val="single" w:sz="4" w:space="0" w:color="auto"/>
              <w:right w:val="single" w:sz="4" w:space="0" w:color="auto"/>
            </w:tcBorders>
            <w:shd w:val="clear" w:color="D9D9D9" w:fill="E6E6E6"/>
            <w:noWrap/>
            <w:vAlign w:val="bottom"/>
            <w:hideMark/>
          </w:tcPr>
          <w:p w14:paraId="0DD17B27" w14:textId="77777777" w:rsidR="00451EC5" w:rsidRPr="00CC3710" w:rsidRDefault="00451EC5" w:rsidP="00451EC5">
            <w:pPr>
              <w:spacing w:after="0" w:line="240" w:lineRule="auto"/>
              <w:jc w:val="right"/>
              <w:rPr>
                <w:rFonts w:ascii="Times New Roman" w:eastAsia="Times New Roman" w:hAnsi="Times New Roman" w:cs="Times New Roman"/>
                <w:b/>
                <w:color w:val="000000" w:themeColor="text1"/>
                <w:lang w:eastAsia="bg-BG"/>
              </w:rPr>
            </w:pPr>
            <w:r w:rsidRPr="00CC3710">
              <w:rPr>
                <w:rFonts w:ascii="Times New Roman" w:eastAsia="Times New Roman" w:hAnsi="Times New Roman" w:cs="Times New Roman"/>
                <w:b/>
                <w:color w:val="000000" w:themeColor="text1"/>
                <w:lang w:eastAsia="bg-BG"/>
              </w:rPr>
              <w:t>5 745 000</w:t>
            </w:r>
          </w:p>
        </w:tc>
        <w:tc>
          <w:tcPr>
            <w:tcW w:w="1280" w:type="dxa"/>
            <w:tcBorders>
              <w:top w:val="nil"/>
              <w:left w:val="nil"/>
              <w:bottom w:val="single" w:sz="4" w:space="0" w:color="auto"/>
              <w:right w:val="single" w:sz="4" w:space="0" w:color="auto"/>
            </w:tcBorders>
            <w:shd w:val="clear" w:color="D9D9D9" w:fill="E6E6E6"/>
            <w:noWrap/>
            <w:vAlign w:val="bottom"/>
            <w:hideMark/>
          </w:tcPr>
          <w:p w14:paraId="386E37DF" w14:textId="77777777" w:rsidR="00451EC5" w:rsidRPr="00CC3710" w:rsidRDefault="00451EC5" w:rsidP="00451EC5">
            <w:pPr>
              <w:spacing w:after="0" w:line="240" w:lineRule="auto"/>
              <w:jc w:val="right"/>
              <w:rPr>
                <w:rFonts w:ascii="Times New Roman" w:eastAsia="Times New Roman" w:hAnsi="Times New Roman" w:cs="Times New Roman"/>
                <w:b/>
                <w:color w:val="000000" w:themeColor="text1"/>
                <w:lang w:eastAsia="bg-BG"/>
              </w:rPr>
            </w:pPr>
            <w:r w:rsidRPr="00CC3710">
              <w:rPr>
                <w:rFonts w:ascii="Times New Roman" w:eastAsia="Times New Roman" w:hAnsi="Times New Roman" w:cs="Times New Roman"/>
                <w:b/>
                <w:color w:val="000000" w:themeColor="text1"/>
                <w:lang w:eastAsia="bg-BG"/>
              </w:rPr>
              <w:t>2 378 864</w:t>
            </w:r>
          </w:p>
        </w:tc>
      </w:tr>
      <w:tr w:rsidR="00451EC5" w:rsidRPr="00CC3710" w14:paraId="654FE9C9" w14:textId="77777777" w:rsidTr="00745CD0">
        <w:trPr>
          <w:gridAfter w:val="1"/>
          <w:wAfter w:w="26" w:type="dxa"/>
          <w:trHeight w:val="1260"/>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14:paraId="0F9A1B79" w14:textId="77777777" w:rsidR="00451EC5" w:rsidRPr="00CC3710" w:rsidRDefault="00451EC5" w:rsidP="00451EC5">
            <w:pPr>
              <w:spacing w:after="0" w:line="240" w:lineRule="auto"/>
              <w:jc w:val="center"/>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4200.01.01</w:t>
            </w:r>
          </w:p>
        </w:tc>
        <w:tc>
          <w:tcPr>
            <w:tcW w:w="3514" w:type="dxa"/>
            <w:tcBorders>
              <w:top w:val="nil"/>
              <w:left w:val="nil"/>
              <w:bottom w:val="single" w:sz="4" w:space="0" w:color="auto"/>
              <w:right w:val="single" w:sz="4" w:space="0" w:color="auto"/>
            </w:tcBorders>
            <w:shd w:val="clear" w:color="auto" w:fill="auto"/>
            <w:vAlign w:val="bottom"/>
            <w:hideMark/>
          </w:tcPr>
          <w:p w14:paraId="261CB153" w14:textId="77777777" w:rsidR="00451EC5" w:rsidRPr="00CC3710" w:rsidRDefault="00451EC5" w:rsidP="00451EC5">
            <w:pPr>
              <w:spacing w:after="0" w:line="240" w:lineRule="auto"/>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auto" w:fill="auto"/>
            <w:noWrap/>
            <w:vAlign w:val="bottom"/>
            <w:hideMark/>
          </w:tcPr>
          <w:p w14:paraId="35CB71C1"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5 835 400</w:t>
            </w:r>
          </w:p>
        </w:tc>
        <w:tc>
          <w:tcPr>
            <w:tcW w:w="1272" w:type="dxa"/>
            <w:tcBorders>
              <w:top w:val="nil"/>
              <w:left w:val="nil"/>
              <w:bottom w:val="single" w:sz="4" w:space="0" w:color="auto"/>
              <w:right w:val="single" w:sz="4" w:space="0" w:color="auto"/>
            </w:tcBorders>
            <w:shd w:val="clear" w:color="auto" w:fill="auto"/>
            <w:noWrap/>
            <w:vAlign w:val="bottom"/>
            <w:hideMark/>
          </w:tcPr>
          <w:p w14:paraId="58D7C038"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5 745 000</w:t>
            </w:r>
          </w:p>
        </w:tc>
        <w:tc>
          <w:tcPr>
            <w:tcW w:w="1280" w:type="dxa"/>
            <w:tcBorders>
              <w:top w:val="nil"/>
              <w:left w:val="nil"/>
              <w:bottom w:val="single" w:sz="4" w:space="0" w:color="auto"/>
              <w:right w:val="single" w:sz="4" w:space="0" w:color="auto"/>
            </w:tcBorders>
            <w:shd w:val="clear" w:color="auto" w:fill="auto"/>
            <w:noWrap/>
            <w:vAlign w:val="bottom"/>
            <w:hideMark/>
          </w:tcPr>
          <w:p w14:paraId="67F60CA4" w14:textId="77777777" w:rsidR="00451EC5" w:rsidRPr="00CC3710" w:rsidRDefault="00451EC5" w:rsidP="00451EC5">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2 378 864</w:t>
            </w:r>
          </w:p>
        </w:tc>
      </w:tr>
    </w:tbl>
    <w:p w14:paraId="670E072E" w14:textId="6EF622F9" w:rsidR="003369A2" w:rsidRPr="00CC3710" w:rsidRDefault="003369A2" w:rsidP="004D7985">
      <w:pPr>
        <w:spacing w:after="0" w:line="240" w:lineRule="auto"/>
        <w:rPr>
          <w:rFonts w:ascii="Times New Roman" w:eastAsia="Times New Roman" w:hAnsi="Times New Roman" w:cs="Times New Roman"/>
          <w:color w:val="000000" w:themeColor="text1"/>
          <w:sz w:val="28"/>
          <w:szCs w:val="28"/>
          <w:highlight w:val="yellow"/>
          <w:lang w:eastAsia="bg-BG"/>
        </w:rPr>
        <w:sectPr w:rsidR="003369A2" w:rsidRPr="00CC3710" w:rsidSect="009A56EE">
          <w:footerReference w:type="default" r:id="rId9"/>
          <w:pgSz w:w="11906" w:h="16838"/>
          <w:pgMar w:top="993" w:right="1417" w:bottom="1417" w:left="1417" w:header="708" w:footer="708" w:gutter="0"/>
          <w:cols w:space="708"/>
          <w:docGrid w:linePitch="360"/>
        </w:sectPr>
      </w:pPr>
    </w:p>
    <w:p w14:paraId="20366D71" w14:textId="151D9EE0" w:rsidR="003369A2" w:rsidRPr="00CC3710" w:rsidRDefault="003369A2" w:rsidP="004D7985">
      <w:pPr>
        <w:spacing w:after="0" w:line="240" w:lineRule="auto"/>
        <w:rPr>
          <w:rFonts w:ascii="Times New Roman" w:eastAsia="Times New Roman" w:hAnsi="Times New Roman" w:cs="Times New Roman"/>
          <w:color w:val="000000" w:themeColor="text1"/>
          <w:sz w:val="28"/>
          <w:szCs w:val="28"/>
          <w:highlight w:val="yellow"/>
          <w:lang w:val="en-US" w:eastAsia="bg-BG"/>
        </w:rPr>
      </w:pPr>
    </w:p>
    <w:tbl>
      <w:tblPr>
        <w:tblW w:w="13962" w:type="dxa"/>
        <w:tblLayout w:type="fixed"/>
        <w:tblCellMar>
          <w:left w:w="70" w:type="dxa"/>
          <w:right w:w="70" w:type="dxa"/>
        </w:tblCellMar>
        <w:tblLook w:val="04A0" w:firstRow="1" w:lastRow="0" w:firstColumn="1" w:lastColumn="0" w:noHBand="0" w:noVBand="1"/>
      </w:tblPr>
      <w:tblGrid>
        <w:gridCol w:w="70"/>
        <w:gridCol w:w="950"/>
        <w:gridCol w:w="3019"/>
        <w:gridCol w:w="1134"/>
        <w:gridCol w:w="993"/>
        <w:gridCol w:w="1134"/>
        <w:gridCol w:w="1134"/>
        <w:gridCol w:w="992"/>
        <w:gridCol w:w="992"/>
        <w:gridCol w:w="1134"/>
        <w:gridCol w:w="992"/>
        <w:gridCol w:w="993"/>
        <w:gridCol w:w="425"/>
      </w:tblGrid>
      <w:tr w:rsidR="008D2740" w:rsidRPr="00CC3710" w14:paraId="5095A375" w14:textId="77777777" w:rsidTr="008D2740">
        <w:trPr>
          <w:gridBefore w:val="1"/>
          <w:gridAfter w:val="1"/>
          <w:wBefore w:w="70" w:type="dxa"/>
          <w:wAfter w:w="425" w:type="dxa"/>
          <w:trHeight w:val="666"/>
        </w:trPr>
        <w:tc>
          <w:tcPr>
            <w:tcW w:w="13467" w:type="dxa"/>
            <w:gridSpan w:val="11"/>
            <w:tcBorders>
              <w:top w:val="nil"/>
              <w:left w:val="nil"/>
              <w:bottom w:val="nil"/>
              <w:right w:val="nil"/>
            </w:tcBorders>
            <w:shd w:val="clear" w:color="auto" w:fill="auto"/>
            <w:noWrap/>
            <w:vAlign w:val="center"/>
            <w:hideMark/>
          </w:tcPr>
          <w:p w14:paraId="4CB5900C" w14:textId="77777777" w:rsidR="008D2740" w:rsidRPr="00CC3710" w:rsidRDefault="008D2740" w:rsidP="00745CD0">
            <w:pPr>
              <w:spacing w:after="0" w:line="240" w:lineRule="auto"/>
              <w:rPr>
                <w:rFonts w:ascii="Times New Roman" w:eastAsia="Times New Roman" w:hAnsi="Times New Roman" w:cs="Times New Roman"/>
                <w:color w:val="000000" w:themeColor="text1"/>
                <w:sz w:val="24"/>
                <w:szCs w:val="24"/>
                <w:lang w:eastAsia="bg-BG"/>
              </w:rPr>
            </w:pPr>
            <w:r w:rsidRPr="00CC3710">
              <w:rPr>
                <w:rFonts w:ascii="Times New Roman" w:eastAsia="Times New Roman" w:hAnsi="Times New Roman" w:cs="Times New Roman"/>
                <w:b/>
                <w:i/>
                <w:color w:val="000000" w:themeColor="text1"/>
                <w:sz w:val="24"/>
                <w:szCs w:val="24"/>
                <w:lang w:eastAsia="bg-BG"/>
              </w:rPr>
              <w:t xml:space="preserve">Приложение № 2б </w:t>
            </w:r>
            <w:r w:rsidRPr="00CC3710">
              <w:rPr>
                <w:rFonts w:ascii="Times New Roman" w:eastAsia="Times New Roman" w:hAnsi="Times New Roman" w:cs="Times New Roman"/>
                <w:color w:val="000000" w:themeColor="text1"/>
                <w:sz w:val="24"/>
                <w:szCs w:val="24"/>
                <w:lang w:eastAsia="bg-BG"/>
              </w:rPr>
              <w:t>– Отчет на консолидираните разходи по бюджетните програми в рамките на функционалната област</w:t>
            </w:r>
          </w:p>
          <w:p w14:paraId="6C63ED5B" w14:textId="77777777" w:rsidR="008D2740" w:rsidRPr="00CC3710" w:rsidRDefault="008D2740" w:rsidP="00745CD0">
            <w:pPr>
              <w:spacing w:after="0" w:line="240" w:lineRule="auto"/>
              <w:rPr>
                <w:rFonts w:ascii="Times New Roman" w:eastAsia="Times New Roman" w:hAnsi="Times New Roman" w:cs="Times New Roman"/>
                <w:color w:val="000000" w:themeColor="text1"/>
                <w:sz w:val="24"/>
                <w:szCs w:val="24"/>
                <w:lang w:eastAsia="bg-BG"/>
              </w:rPr>
            </w:pPr>
          </w:p>
        </w:tc>
      </w:tr>
      <w:tr w:rsidR="008D2740" w:rsidRPr="00CC3710" w14:paraId="426367AA" w14:textId="77777777" w:rsidTr="008D2740">
        <w:trPr>
          <w:gridBefore w:val="1"/>
          <w:gridAfter w:val="1"/>
          <w:wBefore w:w="70" w:type="dxa"/>
          <w:wAfter w:w="425" w:type="dxa"/>
          <w:trHeight w:val="1308"/>
        </w:trPr>
        <w:tc>
          <w:tcPr>
            <w:tcW w:w="950" w:type="dxa"/>
            <w:tcBorders>
              <w:top w:val="single" w:sz="4" w:space="0" w:color="auto"/>
              <w:left w:val="single" w:sz="4" w:space="0" w:color="auto"/>
              <w:bottom w:val="single" w:sz="4" w:space="0" w:color="auto"/>
              <w:right w:val="single" w:sz="4" w:space="0" w:color="auto"/>
            </w:tcBorders>
            <w:shd w:val="clear" w:color="E6E6E6" w:fill="D9D9D9"/>
            <w:vAlign w:val="center"/>
            <w:hideMark/>
          </w:tcPr>
          <w:p w14:paraId="17ACB2D2" w14:textId="77777777" w:rsidR="008D2740" w:rsidRPr="00CC3710"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br/>
              <w:t>Код</w:t>
            </w:r>
          </w:p>
        </w:tc>
        <w:tc>
          <w:tcPr>
            <w:tcW w:w="3019" w:type="dxa"/>
            <w:tcBorders>
              <w:top w:val="single" w:sz="4" w:space="0" w:color="auto"/>
              <w:left w:val="nil"/>
              <w:bottom w:val="single" w:sz="4" w:space="0" w:color="auto"/>
              <w:right w:val="single" w:sz="4" w:space="0" w:color="auto"/>
            </w:tcBorders>
            <w:shd w:val="clear" w:color="E6E6E6" w:fill="D9D9D9"/>
            <w:vAlign w:val="center"/>
            <w:hideMark/>
          </w:tcPr>
          <w:p w14:paraId="5754EAAB" w14:textId="77777777" w:rsidR="008D2740" w:rsidRPr="00CC3710"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ФУНКЦИОНАЛНИ ОБЛАСТИ</w:t>
            </w:r>
            <w:r w:rsidRPr="00CC3710">
              <w:rPr>
                <w:rFonts w:ascii="Times New Roman" w:eastAsia="Times New Roman" w:hAnsi="Times New Roman" w:cs="Times New Roman"/>
                <w:b/>
                <w:bCs/>
                <w:color w:val="000000" w:themeColor="text1"/>
                <w:sz w:val="18"/>
                <w:szCs w:val="18"/>
                <w:lang w:eastAsia="bg-BG"/>
              </w:rPr>
              <w:br/>
              <w:t xml:space="preserve">И БЮДЖЕТНИ ПРОГРАМИ </w:t>
            </w:r>
          </w:p>
        </w:tc>
        <w:tc>
          <w:tcPr>
            <w:tcW w:w="3261"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6FBB8DCA" w14:textId="77777777" w:rsidR="008D2740" w:rsidRPr="00CC3710"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Консолидирани разходи</w:t>
            </w:r>
          </w:p>
        </w:tc>
        <w:tc>
          <w:tcPr>
            <w:tcW w:w="3118"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093B7F43" w14:textId="77777777" w:rsidR="008D2740" w:rsidRPr="00CC3710"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Ведомствени разходи</w:t>
            </w:r>
          </w:p>
        </w:tc>
        <w:tc>
          <w:tcPr>
            <w:tcW w:w="3119"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4A8DF100" w14:textId="77777777" w:rsidR="008D2740" w:rsidRPr="00CC3710"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Администрирани разходи</w:t>
            </w:r>
          </w:p>
        </w:tc>
      </w:tr>
      <w:tr w:rsidR="008D2740" w:rsidRPr="00CC3710" w14:paraId="639B0031" w14:textId="77777777" w:rsidTr="008D2740">
        <w:trPr>
          <w:gridBefore w:val="1"/>
          <w:gridAfter w:val="1"/>
          <w:wBefore w:w="70" w:type="dxa"/>
          <w:wAfter w:w="425" w:type="dxa"/>
          <w:trHeight w:val="1357"/>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7A8CB65A"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 </w:t>
            </w:r>
          </w:p>
        </w:tc>
        <w:tc>
          <w:tcPr>
            <w:tcW w:w="3019" w:type="dxa"/>
            <w:tcBorders>
              <w:top w:val="nil"/>
              <w:left w:val="nil"/>
              <w:bottom w:val="single" w:sz="4" w:space="0" w:color="auto"/>
              <w:right w:val="single" w:sz="4" w:space="0" w:color="auto"/>
            </w:tcBorders>
            <w:shd w:val="clear" w:color="auto" w:fill="auto"/>
            <w:vAlign w:val="bottom"/>
            <w:hideMark/>
          </w:tcPr>
          <w:p w14:paraId="033C937C"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на КОМИСИЯ ЗА ЗАЩИТА НА КОНКУРЕНЦИЯТА</w:t>
            </w:r>
            <w:r w:rsidRPr="00CC3710">
              <w:rPr>
                <w:rFonts w:ascii="Times New Roman" w:eastAsia="Times New Roman" w:hAnsi="Times New Roman" w:cs="Times New Roman"/>
                <w:color w:val="000000" w:themeColor="text1"/>
                <w:sz w:val="18"/>
                <w:szCs w:val="18"/>
                <w:lang w:eastAsia="bg-BG"/>
              </w:rPr>
              <w:br/>
              <w:t>(в лева)</w:t>
            </w:r>
          </w:p>
          <w:p w14:paraId="45F2A808"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 xml:space="preserve"> </w:t>
            </w:r>
          </w:p>
        </w:tc>
        <w:tc>
          <w:tcPr>
            <w:tcW w:w="1134" w:type="dxa"/>
            <w:tcBorders>
              <w:top w:val="nil"/>
              <w:left w:val="nil"/>
              <w:bottom w:val="single" w:sz="4" w:space="0" w:color="auto"/>
              <w:right w:val="single" w:sz="4" w:space="0" w:color="auto"/>
            </w:tcBorders>
            <w:shd w:val="clear" w:color="auto" w:fill="auto"/>
            <w:vAlign w:val="bottom"/>
            <w:hideMark/>
          </w:tcPr>
          <w:p w14:paraId="0925064A"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Общо разходи</w:t>
            </w:r>
          </w:p>
          <w:p w14:paraId="6C6F0505"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p w14:paraId="7A207D3C"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p w14:paraId="4B7160B4"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5797C79C"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CC3710">
              <w:rPr>
                <w:rFonts w:ascii="Times New Roman" w:eastAsia="Times New Roman" w:hAnsi="Times New Roman" w:cs="Times New Roman"/>
                <w:i/>
                <w:iCs/>
                <w:color w:val="000000" w:themeColor="text1"/>
                <w:sz w:val="18"/>
                <w:szCs w:val="18"/>
                <w:lang w:eastAsia="bg-BG"/>
              </w:rPr>
              <w:t>По бюджета на ПРБ</w:t>
            </w:r>
          </w:p>
          <w:p w14:paraId="74D18CED"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p w14:paraId="26185776"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tc>
        <w:tc>
          <w:tcPr>
            <w:tcW w:w="1134" w:type="dxa"/>
            <w:tcBorders>
              <w:top w:val="nil"/>
              <w:left w:val="nil"/>
              <w:bottom w:val="single" w:sz="4" w:space="0" w:color="auto"/>
              <w:right w:val="single" w:sz="4" w:space="0" w:color="auto"/>
            </w:tcBorders>
            <w:shd w:val="clear" w:color="auto" w:fill="auto"/>
            <w:vAlign w:val="bottom"/>
            <w:hideMark/>
          </w:tcPr>
          <w:p w14:paraId="0EE00AFC"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CC3710">
              <w:rPr>
                <w:rFonts w:ascii="Times New Roman" w:eastAsia="Times New Roman" w:hAnsi="Times New Roman" w:cs="Times New Roman"/>
                <w:i/>
                <w:iCs/>
                <w:color w:val="000000" w:themeColor="text1"/>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4412131A"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Общо ведомствени</w:t>
            </w:r>
          </w:p>
          <w:p w14:paraId="0473B712"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p w14:paraId="6642F338"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3179A8B3"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CC3710">
              <w:rPr>
                <w:rFonts w:ascii="Times New Roman" w:eastAsia="Times New Roman" w:hAnsi="Times New Roman" w:cs="Times New Roman"/>
                <w:i/>
                <w:iCs/>
                <w:color w:val="000000" w:themeColor="text1"/>
                <w:sz w:val="18"/>
                <w:szCs w:val="18"/>
                <w:lang w:eastAsia="bg-BG"/>
              </w:rPr>
              <w:t>По бюджета на ПРБ</w:t>
            </w:r>
          </w:p>
          <w:p w14:paraId="2349B073"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p w14:paraId="5D02E1F3"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52A30DA1"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CC3710">
              <w:rPr>
                <w:rFonts w:ascii="Times New Roman" w:eastAsia="Times New Roman" w:hAnsi="Times New Roman" w:cs="Times New Roman"/>
                <w:i/>
                <w:iCs/>
                <w:color w:val="000000" w:themeColor="text1"/>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544EB7F9"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Общо администрирани</w:t>
            </w:r>
          </w:p>
          <w:p w14:paraId="6AF4A72B"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p w14:paraId="46BE030C"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0287C8E4"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CC3710">
              <w:rPr>
                <w:rFonts w:ascii="Times New Roman" w:eastAsia="Times New Roman" w:hAnsi="Times New Roman" w:cs="Times New Roman"/>
                <w:i/>
                <w:iCs/>
                <w:color w:val="000000" w:themeColor="text1"/>
                <w:sz w:val="18"/>
                <w:szCs w:val="18"/>
                <w:lang w:eastAsia="bg-BG"/>
              </w:rPr>
              <w:t>По бюджета на ПРБ</w:t>
            </w:r>
          </w:p>
          <w:p w14:paraId="2E328B07"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p w14:paraId="640C47DC"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462DBC3B"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CC3710">
              <w:rPr>
                <w:rFonts w:ascii="Times New Roman" w:eastAsia="Times New Roman" w:hAnsi="Times New Roman" w:cs="Times New Roman"/>
                <w:i/>
                <w:iCs/>
                <w:color w:val="000000" w:themeColor="text1"/>
                <w:sz w:val="18"/>
                <w:szCs w:val="18"/>
                <w:lang w:eastAsia="bg-BG"/>
              </w:rPr>
              <w:t>По други бюджети и сметки за средства от ЕС</w:t>
            </w:r>
          </w:p>
        </w:tc>
      </w:tr>
      <w:tr w:rsidR="008D2740" w:rsidRPr="00CC3710" w14:paraId="6011EEEC" w14:textId="77777777" w:rsidTr="008D2740">
        <w:trPr>
          <w:gridBefore w:val="1"/>
          <w:gridAfter w:val="1"/>
          <w:wBefore w:w="70" w:type="dxa"/>
          <w:wAfter w:w="425" w:type="dxa"/>
          <w:trHeight w:val="301"/>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4C63530F" w14:textId="77777777" w:rsidR="008D2740" w:rsidRPr="00CC3710"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4200.00.00</w:t>
            </w:r>
          </w:p>
        </w:tc>
        <w:tc>
          <w:tcPr>
            <w:tcW w:w="3019" w:type="dxa"/>
            <w:tcBorders>
              <w:top w:val="nil"/>
              <w:left w:val="nil"/>
              <w:bottom w:val="single" w:sz="4" w:space="0" w:color="auto"/>
              <w:right w:val="single" w:sz="4" w:space="0" w:color="auto"/>
            </w:tcBorders>
            <w:shd w:val="clear" w:color="D9D9D9" w:fill="BFBFBF"/>
            <w:noWrap/>
            <w:vAlign w:val="bottom"/>
            <w:hideMark/>
          </w:tcPr>
          <w:p w14:paraId="19763893" w14:textId="77777777" w:rsidR="008D2740" w:rsidRPr="00CC3710" w:rsidRDefault="008D2740"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Общо разходи</w:t>
            </w:r>
          </w:p>
        </w:tc>
        <w:tc>
          <w:tcPr>
            <w:tcW w:w="1134" w:type="dxa"/>
            <w:tcBorders>
              <w:top w:val="nil"/>
              <w:left w:val="nil"/>
              <w:bottom w:val="single" w:sz="4" w:space="0" w:color="auto"/>
              <w:right w:val="single" w:sz="4" w:space="0" w:color="auto"/>
            </w:tcBorders>
            <w:shd w:val="clear" w:color="D9D9D9" w:fill="BFBFBF"/>
            <w:noWrap/>
            <w:vAlign w:val="bottom"/>
            <w:hideMark/>
          </w:tcPr>
          <w:p w14:paraId="676515E0"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2 393 744</w:t>
            </w:r>
          </w:p>
        </w:tc>
        <w:tc>
          <w:tcPr>
            <w:tcW w:w="993" w:type="dxa"/>
            <w:tcBorders>
              <w:top w:val="nil"/>
              <w:left w:val="nil"/>
              <w:bottom w:val="single" w:sz="4" w:space="0" w:color="auto"/>
              <w:right w:val="single" w:sz="4" w:space="0" w:color="auto"/>
            </w:tcBorders>
            <w:shd w:val="clear" w:color="D9D9D9" w:fill="BFBFBF"/>
            <w:noWrap/>
            <w:vAlign w:val="bottom"/>
            <w:hideMark/>
          </w:tcPr>
          <w:p w14:paraId="2C050E3D"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2 378 864</w:t>
            </w:r>
          </w:p>
        </w:tc>
        <w:tc>
          <w:tcPr>
            <w:tcW w:w="1134" w:type="dxa"/>
            <w:tcBorders>
              <w:top w:val="nil"/>
              <w:left w:val="nil"/>
              <w:bottom w:val="single" w:sz="4" w:space="0" w:color="auto"/>
              <w:right w:val="single" w:sz="4" w:space="0" w:color="auto"/>
            </w:tcBorders>
            <w:shd w:val="clear" w:color="D9D9D9" w:fill="BFBFBF"/>
            <w:noWrap/>
            <w:vAlign w:val="bottom"/>
            <w:hideMark/>
          </w:tcPr>
          <w:p w14:paraId="59000829"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14 880</w:t>
            </w:r>
            <w:r w:rsidRPr="00CC3710">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4" w:space="0" w:color="auto"/>
              <w:right w:val="single" w:sz="4" w:space="0" w:color="auto"/>
            </w:tcBorders>
            <w:shd w:val="clear" w:color="D9D9D9" w:fill="BFBFBF"/>
            <w:noWrap/>
            <w:vAlign w:val="bottom"/>
            <w:hideMark/>
          </w:tcPr>
          <w:p w14:paraId="7145EA1A"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2 393 744</w:t>
            </w:r>
          </w:p>
        </w:tc>
        <w:tc>
          <w:tcPr>
            <w:tcW w:w="992" w:type="dxa"/>
            <w:tcBorders>
              <w:top w:val="nil"/>
              <w:left w:val="nil"/>
              <w:bottom w:val="single" w:sz="4" w:space="0" w:color="auto"/>
              <w:right w:val="single" w:sz="4" w:space="0" w:color="auto"/>
            </w:tcBorders>
            <w:shd w:val="clear" w:color="D9D9D9" w:fill="BFBFBF"/>
            <w:noWrap/>
            <w:vAlign w:val="bottom"/>
            <w:hideMark/>
          </w:tcPr>
          <w:p w14:paraId="2232E627"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val="en-US" w:eastAsia="bg-BG"/>
              </w:rPr>
            </w:pPr>
            <w:r w:rsidRPr="00CC3710">
              <w:rPr>
                <w:rFonts w:ascii="Times New Roman" w:eastAsia="Times New Roman" w:hAnsi="Times New Roman" w:cs="Times New Roman"/>
                <w:color w:val="000000" w:themeColor="text1"/>
                <w:sz w:val="18"/>
                <w:szCs w:val="18"/>
                <w:lang w:eastAsia="bg-BG"/>
              </w:rPr>
              <w:t>2 378 864</w:t>
            </w:r>
          </w:p>
        </w:tc>
        <w:tc>
          <w:tcPr>
            <w:tcW w:w="992" w:type="dxa"/>
            <w:tcBorders>
              <w:top w:val="nil"/>
              <w:left w:val="nil"/>
              <w:bottom w:val="single" w:sz="4" w:space="0" w:color="auto"/>
              <w:right w:val="single" w:sz="4" w:space="0" w:color="auto"/>
            </w:tcBorders>
            <w:shd w:val="clear" w:color="D9D9D9" w:fill="BFBFBF"/>
            <w:noWrap/>
            <w:vAlign w:val="bottom"/>
            <w:hideMark/>
          </w:tcPr>
          <w:p w14:paraId="15B41FA4"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14 880</w:t>
            </w:r>
            <w:r w:rsidRPr="00CC3710">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4" w:space="0" w:color="auto"/>
              <w:right w:val="single" w:sz="4" w:space="0" w:color="auto"/>
            </w:tcBorders>
            <w:shd w:val="clear" w:color="D9D9D9" w:fill="BFBFBF"/>
            <w:noWrap/>
            <w:vAlign w:val="bottom"/>
            <w:hideMark/>
          </w:tcPr>
          <w:p w14:paraId="3A2E9645"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0</w:t>
            </w:r>
            <w:r w:rsidRPr="00CC3710">
              <w:rPr>
                <w:rFonts w:ascii="Times New Roman" w:eastAsia="Times New Roman" w:hAnsi="Times New Roman" w:cs="Times New Roman"/>
                <w:color w:val="000000" w:themeColor="text1"/>
                <w:sz w:val="18"/>
                <w:szCs w:val="18"/>
                <w:lang w:eastAsia="bg-BG"/>
              </w:rPr>
              <w:t> </w:t>
            </w:r>
          </w:p>
        </w:tc>
        <w:tc>
          <w:tcPr>
            <w:tcW w:w="992" w:type="dxa"/>
            <w:tcBorders>
              <w:top w:val="nil"/>
              <w:left w:val="nil"/>
              <w:bottom w:val="single" w:sz="4" w:space="0" w:color="auto"/>
              <w:right w:val="single" w:sz="4" w:space="0" w:color="auto"/>
            </w:tcBorders>
            <w:shd w:val="clear" w:color="D9D9D9" w:fill="BFBFBF"/>
            <w:noWrap/>
            <w:vAlign w:val="bottom"/>
            <w:hideMark/>
          </w:tcPr>
          <w:p w14:paraId="284797AE"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0</w:t>
            </w:r>
            <w:r w:rsidRPr="00CC3710">
              <w:rPr>
                <w:rFonts w:ascii="Times New Roman" w:eastAsia="Times New Roman" w:hAnsi="Times New Roman" w:cs="Times New Roman"/>
                <w:color w:val="000000" w:themeColor="text1"/>
                <w:sz w:val="18"/>
                <w:szCs w:val="18"/>
                <w:lang w:eastAsia="bg-BG"/>
              </w:rPr>
              <w:t> </w:t>
            </w:r>
          </w:p>
        </w:tc>
        <w:tc>
          <w:tcPr>
            <w:tcW w:w="993" w:type="dxa"/>
            <w:tcBorders>
              <w:top w:val="nil"/>
              <w:left w:val="nil"/>
              <w:bottom w:val="single" w:sz="4" w:space="0" w:color="auto"/>
              <w:right w:val="single" w:sz="4" w:space="0" w:color="auto"/>
            </w:tcBorders>
            <w:shd w:val="clear" w:color="D9D9D9" w:fill="BFBFBF"/>
            <w:noWrap/>
            <w:vAlign w:val="bottom"/>
            <w:hideMark/>
          </w:tcPr>
          <w:p w14:paraId="5D92B40B"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0</w:t>
            </w:r>
            <w:r w:rsidRPr="00CC3710">
              <w:rPr>
                <w:rFonts w:ascii="Times New Roman" w:eastAsia="Times New Roman" w:hAnsi="Times New Roman" w:cs="Times New Roman"/>
                <w:color w:val="000000" w:themeColor="text1"/>
                <w:sz w:val="18"/>
                <w:szCs w:val="18"/>
                <w:lang w:eastAsia="bg-BG"/>
              </w:rPr>
              <w:t> </w:t>
            </w:r>
          </w:p>
        </w:tc>
      </w:tr>
      <w:tr w:rsidR="008D2740" w:rsidRPr="00CC3710" w14:paraId="46199954" w14:textId="77777777" w:rsidTr="008D2740">
        <w:trPr>
          <w:gridBefore w:val="1"/>
          <w:gridAfter w:val="1"/>
          <w:wBefore w:w="70" w:type="dxa"/>
          <w:wAfter w:w="425" w:type="dxa"/>
          <w:trHeight w:val="960"/>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2B07C747" w14:textId="77777777" w:rsidR="008D2740" w:rsidRPr="00CC3710"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4200.01.00</w:t>
            </w:r>
          </w:p>
        </w:tc>
        <w:tc>
          <w:tcPr>
            <w:tcW w:w="3019" w:type="dxa"/>
            <w:tcBorders>
              <w:top w:val="nil"/>
              <w:left w:val="nil"/>
              <w:bottom w:val="single" w:sz="4" w:space="0" w:color="auto"/>
              <w:right w:val="single" w:sz="4" w:space="0" w:color="auto"/>
            </w:tcBorders>
            <w:shd w:val="clear" w:color="D9D9D9" w:fill="E6E6E6"/>
            <w:vAlign w:val="bottom"/>
            <w:hideMark/>
          </w:tcPr>
          <w:p w14:paraId="6474A5B7" w14:textId="77777777" w:rsidR="008D2740" w:rsidRPr="00CC3710" w:rsidRDefault="008D2740" w:rsidP="00745CD0">
            <w:pPr>
              <w:spacing w:after="0" w:line="240" w:lineRule="auto"/>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E6E6E6" w:fill="D9D9D9"/>
            <w:noWrap/>
            <w:vAlign w:val="bottom"/>
            <w:hideMark/>
          </w:tcPr>
          <w:p w14:paraId="6A063CC9"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2 393 744</w:t>
            </w:r>
          </w:p>
        </w:tc>
        <w:tc>
          <w:tcPr>
            <w:tcW w:w="993" w:type="dxa"/>
            <w:tcBorders>
              <w:top w:val="nil"/>
              <w:left w:val="nil"/>
              <w:bottom w:val="single" w:sz="4" w:space="0" w:color="auto"/>
              <w:right w:val="single" w:sz="4" w:space="0" w:color="auto"/>
            </w:tcBorders>
            <w:shd w:val="clear" w:color="E6E6E6" w:fill="D9D9D9"/>
            <w:noWrap/>
            <w:vAlign w:val="bottom"/>
            <w:hideMark/>
          </w:tcPr>
          <w:p w14:paraId="0C56ED06"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2 378 864</w:t>
            </w:r>
          </w:p>
        </w:tc>
        <w:tc>
          <w:tcPr>
            <w:tcW w:w="1134" w:type="dxa"/>
            <w:tcBorders>
              <w:top w:val="nil"/>
              <w:left w:val="nil"/>
              <w:bottom w:val="single" w:sz="4" w:space="0" w:color="auto"/>
              <w:right w:val="single" w:sz="4" w:space="0" w:color="auto"/>
            </w:tcBorders>
            <w:shd w:val="clear" w:color="E6E6E6" w:fill="D9D9D9"/>
            <w:noWrap/>
            <w:vAlign w:val="bottom"/>
            <w:hideMark/>
          </w:tcPr>
          <w:p w14:paraId="7DCFB846"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14 880</w:t>
            </w:r>
            <w:r w:rsidRPr="00CC3710">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4" w:space="0" w:color="auto"/>
              <w:right w:val="single" w:sz="4" w:space="0" w:color="auto"/>
            </w:tcBorders>
            <w:shd w:val="clear" w:color="E6E6E6" w:fill="D9D9D9"/>
            <w:noWrap/>
            <w:vAlign w:val="bottom"/>
            <w:hideMark/>
          </w:tcPr>
          <w:p w14:paraId="24DD3F01"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2 393 744</w:t>
            </w:r>
          </w:p>
        </w:tc>
        <w:tc>
          <w:tcPr>
            <w:tcW w:w="992" w:type="dxa"/>
            <w:tcBorders>
              <w:top w:val="nil"/>
              <w:left w:val="nil"/>
              <w:bottom w:val="single" w:sz="4" w:space="0" w:color="auto"/>
              <w:right w:val="single" w:sz="4" w:space="0" w:color="auto"/>
            </w:tcBorders>
            <w:shd w:val="clear" w:color="E6E6E6" w:fill="D9D9D9"/>
            <w:noWrap/>
            <w:vAlign w:val="bottom"/>
            <w:hideMark/>
          </w:tcPr>
          <w:p w14:paraId="56C6E0A7"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val="en-US" w:eastAsia="bg-BG"/>
              </w:rPr>
            </w:pPr>
            <w:r w:rsidRPr="00CC3710">
              <w:rPr>
                <w:rFonts w:ascii="Times New Roman" w:eastAsia="Times New Roman" w:hAnsi="Times New Roman" w:cs="Times New Roman"/>
                <w:color w:val="000000" w:themeColor="text1"/>
                <w:sz w:val="18"/>
                <w:szCs w:val="18"/>
                <w:lang w:eastAsia="bg-BG"/>
              </w:rPr>
              <w:t>2 378 864</w:t>
            </w:r>
          </w:p>
        </w:tc>
        <w:tc>
          <w:tcPr>
            <w:tcW w:w="992" w:type="dxa"/>
            <w:tcBorders>
              <w:top w:val="nil"/>
              <w:left w:val="nil"/>
              <w:bottom w:val="single" w:sz="4" w:space="0" w:color="auto"/>
              <w:right w:val="single" w:sz="4" w:space="0" w:color="auto"/>
            </w:tcBorders>
            <w:shd w:val="clear" w:color="E6E6E6" w:fill="D9D9D9"/>
            <w:noWrap/>
            <w:vAlign w:val="bottom"/>
            <w:hideMark/>
          </w:tcPr>
          <w:p w14:paraId="26A557F6"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14 880</w:t>
            </w:r>
          </w:p>
        </w:tc>
        <w:tc>
          <w:tcPr>
            <w:tcW w:w="1134" w:type="dxa"/>
            <w:tcBorders>
              <w:top w:val="nil"/>
              <w:left w:val="nil"/>
              <w:bottom w:val="single" w:sz="4" w:space="0" w:color="auto"/>
              <w:right w:val="single" w:sz="4" w:space="0" w:color="auto"/>
            </w:tcBorders>
            <w:shd w:val="clear" w:color="E6E6E6" w:fill="D9D9D9"/>
            <w:noWrap/>
            <w:vAlign w:val="bottom"/>
            <w:hideMark/>
          </w:tcPr>
          <w:p w14:paraId="302C446C"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0</w:t>
            </w:r>
            <w:r w:rsidRPr="00CC3710">
              <w:rPr>
                <w:rFonts w:ascii="Times New Roman" w:eastAsia="Times New Roman" w:hAnsi="Times New Roman" w:cs="Times New Roman"/>
                <w:color w:val="000000" w:themeColor="text1"/>
                <w:sz w:val="18"/>
                <w:szCs w:val="18"/>
                <w:lang w:eastAsia="bg-BG"/>
              </w:rPr>
              <w:t> </w:t>
            </w:r>
          </w:p>
        </w:tc>
        <w:tc>
          <w:tcPr>
            <w:tcW w:w="992" w:type="dxa"/>
            <w:tcBorders>
              <w:top w:val="nil"/>
              <w:left w:val="nil"/>
              <w:bottom w:val="single" w:sz="4" w:space="0" w:color="auto"/>
              <w:right w:val="single" w:sz="4" w:space="0" w:color="auto"/>
            </w:tcBorders>
            <w:shd w:val="clear" w:color="E6E6E6" w:fill="D9D9D9"/>
            <w:noWrap/>
            <w:vAlign w:val="bottom"/>
            <w:hideMark/>
          </w:tcPr>
          <w:p w14:paraId="2D49A4B9"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0</w:t>
            </w:r>
            <w:r w:rsidRPr="00CC3710">
              <w:rPr>
                <w:rFonts w:ascii="Times New Roman" w:eastAsia="Times New Roman" w:hAnsi="Times New Roman" w:cs="Times New Roman"/>
                <w:color w:val="000000" w:themeColor="text1"/>
                <w:sz w:val="18"/>
                <w:szCs w:val="18"/>
                <w:lang w:eastAsia="bg-BG"/>
              </w:rPr>
              <w:t> </w:t>
            </w:r>
          </w:p>
        </w:tc>
        <w:tc>
          <w:tcPr>
            <w:tcW w:w="993" w:type="dxa"/>
            <w:tcBorders>
              <w:top w:val="nil"/>
              <w:left w:val="nil"/>
              <w:bottom w:val="single" w:sz="4" w:space="0" w:color="auto"/>
              <w:right w:val="single" w:sz="4" w:space="0" w:color="auto"/>
            </w:tcBorders>
            <w:shd w:val="clear" w:color="E6E6E6" w:fill="D9D9D9"/>
            <w:noWrap/>
            <w:vAlign w:val="bottom"/>
            <w:hideMark/>
          </w:tcPr>
          <w:p w14:paraId="7D411D9A"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0</w:t>
            </w:r>
            <w:r w:rsidRPr="00CC3710">
              <w:rPr>
                <w:rFonts w:ascii="Times New Roman" w:eastAsia="Times New Roman" w:hAnsi="Times New Roman" w:cs="Times New Roman"/>
                <w:color w:val="000000" w:themeColor="text1"/>
                <w:sz w:val="18"/>
                <w:szCs w:val="18"/>
                <w:lang w:eastAsia="bg-BG"/>
              </w:rPr>
              <w:t> </w:t>
            </w:r>
          </w:p>
        </w:tc>
      </w:tr>
      <w:tr w:rsidR="008D2740" w:rsidRPr="00CC3710" w14:paraId="0E21456A" w14:textId="77777777" w:rsidTr="008D2740">
        <w:trPr>
          <w:gridBefore w:val="1"/>
          <w:gridAfter w:val="1"/>
          <w:wBefore w:w="70" w:type="dxa"/>
          <w:wAfter w:w="425" w:type="dxa"/>
          <w:trHeight w:val="1275"/>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5F1BF312"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4200.01.01</w:t>
            </w:r>
          </w:p>
        </w:tc>
        <w:tc>
          <w:tcPr>
            <w:tcW w:w="3019" w:type="dxa"/>
            <w:tcBorders>
              <w:top w:val="nil"/>
              <w:left w:val="nil"/>
              <w:bottom w:val="single" w:sz="4" w:space="0" w:color="auto"/>
              <w:right w:val="single" w:sz="4" w:space="0" w:color="auto"/>
            </w:tcBorders>
            <w:shd w:val="clear" w:color="auto" w:fill="auto"/>
            <w:vAlign w:val="bottom"/>
            <w:hideMark/>
          </w:tcPr>
          <w:p w14:paraId="4E48E549" w14:textId="77777777" w:rsidR="008D2740" w:rsidRPr="00CC3710" w:rsidRDefault="008D2740" w:rsidP="00745CD0">
            <w:pPr>
              <w:spacing w:after="0" w:line="240" w:lineRule="auto"/>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auto" w:fill="auto"/>
            <w:noWrap/>
            <w:vAlign w:val="bottom"/>
            <w:hideMark/>
          </w:tcPr>
          <w:p w14:paraId="5D910300"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2 393 744</w:t>
            </w:r>
          </w:p>
        </w:tc>
        <w:tc>
          <w:tcPr>
            <w:tcW w:w="993" w:type="dxa"/>
            <w:tcBorders>
              <w:top w:val="nil"/>
              <w:left w:val="nil"/>
              <w:bottom w:val="single" w:sz="4" w:space="0" w:color="auto"/>
              <w:right w:val="single" w:sz="4" w:space="0" w:color="auto"/>
            </w:tcBorders>
            <w:shd w:val="clear" w:color="auto" w:fill="auto"/>
            <w:noWrap/>
            <w:vAlign w:val="bottom"/>
            <w:hideMark/>
          </w:tcPr>
          <w:p w14:paraId="1F2CFCE8"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2 378 864</w:t>
            </w:r>
          </w:p>
        </w:tc>
        <w:tc>
          <w:tcPr>
            <w:tcW w:w="1134" w:type="dxa"/>
            <w:tcBorders>
              <w:top w:val="nil"/>
              <w:left w:val="nil"/>
              <w:bottom w:val="single" w:sz="4" w:space="0" w:color="auto"/>
              <w:right w:val="single" w:sz="4" w:space="0" w:color="auto"/>
            </w:tcBorders>
            <w:shd w:val="clear" w:color="auto" w:fill="auto"/>
            <w:noWrap/>
            <w:vAlign w:val="bottom"/>
            <w:hideMark/>
          </w:tcPr>
          <w:p w14:paraId="1BEF04F5"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14 880</w:t>
            </w:r>
            <w:r w:rsidRPr="00CC3710">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9DF914"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2 393 744</w:t>
            </w:r>
          </w:p>
        </w:tc>
        <w:tc>
          <w:tcPr>
            <w:tcW w:w="992" w:type="dxa"/>
            <w:tcBorders>
              <w:top w:val="nil"/>
              <w:left w:val="nil"/>
              <w:bottom w:val="single" w:sz="4" w:space="0" w:color="auto"/>
              <w:right w:val="single" w:sz="4" w:space="0" w:color="auto"/>
            </w:tcBorders>
            <w:shd w:val="clear" w:color="auto" w:fill="auto"/>
            <w:noWrap/>
            <w:vAlign w:val="bottom"/>
            <w:hideMark/>
          </w:tcPr>
          <w:p w14:paraId="36695872"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val="en-US" w:eastAsia="bg-BG"/>
              </w:rPr>
            </w:pPr>
            <w:r w:rsidRPr="00CC3710">
              <w:rPr>
                <w:rFonts w:ascii="Times New Roman" w:eastAsia="Times New Roman" w:hAnsi="Times New Roman" w:cs="Times New Roman"/>
                <w:color w:val="000000" w:themeColor="text1"/>
                <w:sz w:val="18"/>
                <w:szCs w:val="18"/>
                <w:lang w:eastAsia="bg-BG"/>
              </w:rPr>
              <w:t>2 378 864</w:t>
            </w:r>
          </w:p>
        </w:tc>
        <w:tc>
          <w:tcPr>
            <w:tcW w:w="992" w:type="dxa"/>
            <w:tcBorders>
              <w:top w:val="nil"/>
              <w:left w:val="nil"/>
              <w:bottom w:val="single" w:sz="4" w:space="0" w:color="auto"/>
              <w:right w:val="single" w:sz="4" w:space="0" w:color="auto"/>
            </w:tcBorders>
            <w:shd w:val="clear" w:color="auto" w:fill="auto"/>
            <w:noWrap/>
            <w:vAlign w:val="bottom"/>
            <w:hideMark/>
          </w:tcPr>
          <w:p w14:paraId="0272E1A3"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14 880</w:t>
            </w:r>
            <w:r w:rsidRPr="00CC3710">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46E3FD"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0</w:t>
            </w:r>
            <w:r w:rsidRPr="00CC3710">
              <w:rPr>
                <w:rFonts w:ascii="Times New Roman" w:eastAsia="Times New Roman" w:hAnsi="Times New Roman" w:cs="Times New Roman"/>
                <w:color w:val="000000" w:themeColor="text1"/>
                <w:sz w:val="18"/>
                <w:szCs w:val="18"/>
                <w:lan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14:paraId="16A5161D"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0</w:t>
            </w:r>
            <w:r w:rsidRPr="00CC3710">
              <w:rPr>
                <w:rFonts w:ascii="Times New Roman" w:eastAsia="Times New Roman" w:hAnsi="Times New Roman" w:cs="Times New Roman"/>
                <w:color w:val="000000" w:themeColor="text1"/>
                <w:sz w:val="18"/>
                <w:szCs w:val="18"/>
                <w:lang w:eastAsia="bg-BG"/>
              </w:rPr>
              <w:t> </w:t>
            </w:r>
          </w:p>
        </w:tc>
        <w:tc>
          <w:tcPr>
            <w:tcW w:w="993" w:type="dxa"/>
            <w:tcBorders>
              <w:top w:val="nil"/>
              <w:left w:val="nil"/>
              <w:bottom w:val="single" w:sz="4" w:space="0" w:color="auto"/>
              <w:right w:val="single" w:sz="4" w:space="0" w:color="auto"/>
            </w:tcBorders>
            <w:shd w:val="clear" w:color="auto" w:fill="auto"/>
            <w:noWrap/>
            <w:vAlign w:val="bottom"/>
            <w:hideMark/>
          </w:tcPr>
          <w:p w14:paraId="564E1FA8" w14:textId="77777777" w:rsidR="008D2740" w:rsidRPr="00CC3710" w:rsidRDefault="008D2740" w:rsidP="00745CD0">
            <w:pPr>
              <w:spacing w:after="0" w:line="240" w:lineRule="auto"/>
              <w:jc w:val="right"/>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val="en-US" w:eastAsia="bg-BG"/>
              </w:rPr>
              <w:t>0</w:t>
            </w:r>
            <w:r w:rsidRPr="00CC3710">
              <w:rPr>
                <w:rFonts w:ascii="Times New Roman" w:eastAsia="Times New Roman" w:hAnsi="Times New Roman" w:cs="Times New Roman"/>
                <w:color w:val="000000" w:themeColor="text1"/>
                <w:sz w:val="18"/>
                <w:szCs w:val="18"/>
                <w:lang w:eastAsia="bg-BG"/>
              </w:rPr>
              <w:t> </w:t>
            </w:r>
          </w:p>
        </w:tc>
      </w:tr>
      <w:tr w:rsidR="008D2740" w:rsidRPr="00CC3710" w14:paraId="58832388" w14:textId="77777777" w:rsidTr="008D2740">
        <w:trPr>
          <w:gridBefore w:val="1"/>
          <w:gridAfter w:val="1"/>
          <w:wBefore w:w="70" w:type="dxa"/>
          <w:wAfter w:w="425" w:type="dxa"/>
          <w:trHeight w:val="375"/>
        </w:trPr>
        <w:tc>
          <w:tcPr>
            <w:tcW w:w="13467" w:type="dxa"/>
            <w:gridSpan w:val="11"/>
            <w:tcBorders>
              <w:top w:val="nil"/>
              <w:left w:val="nil"/>
              <w:bottom w:val="nil"/>
              <w:right w:val="nil"/>
            </w:tcBorders>
            <w:shd w:val="clear" w:color="auto" w:fill="auto"/>
            <w:noWrap/>
            <w:vAlign w:val="center"/>
          </w:tcPr>
          <w:p w14:paraId="2D70B958" w14:textId="77777777" w:rsidR="008D2740" w:rsidRPr="00CC3710" w:rsidRDefault="008D2740" w:rsidP="00745CD0">
            <w:pPr>
              <w:spacing w:after="0" w:line="240" w:lineRule="auto"/>
              <w:rPr>
                <w:rFonts w:ascii="Times New Roman" w:eastAsia="Times New Roman" w:hAnsi="Times New Roman" w:cs="Times New Roman"/>
                <w:color w:val="000000" w:themeColor="text1"/>
                <w:sz w:val="24"/>
                <w:szCs w:val="24"/>
                <w:lang w:eastAsia="bg-BG"/>
              </w:rPr>
            </w:pPr>
          </w:p>
        </w:tc>
      </w:tr>
      <w:tr w:rsidR="00756023" w:rsidRPr="00CC3710" w14:paraId="3F248199" w14:textId="77777777" w:rsidTr="008D2740">
        <w:trPr>
          <w:trHeight w:val="375"/>
        </w:trPr>
        <w:tc>
          <w:tcPr>
            <w:tcW w:w="13962" w:type="dxa"/>
            <w:gridSpan w:val="13"/>
            <w:tcBorders>
              <w:top w:val="nil"/>
              <w:left w:val="nil"/>
              <w:bottom w:val="nil"/>
              <w:right w:val="nil"/>
            </w:tcBorders>
            <w:shd w:val="clear" w:color="auto" w:fill="auto"/>
            <w:noWrap/>
            <w:vAlign w:val="center"/>
          </w:tcPr>
          <w:p w14:paraId="363234E8" w14:textId="77777777" w:rsidR="00756023" w:rsidRPr="00CC3710" w:rsidRDefault="00756023" w:rsidP="00FC13B4">
            <w:pPr>
              <w:spacing w:after="0" w:line="240" w:lineRule="auto"/>
              <w:rPr>
                <w:rFonts w:ascii="Times New Roman" w:eastAsia="Times New Roman" w:hAnsi="Times New Roman" w:cs="Times New Roman"/>
                <w:color w:val="000000" w:themeColor="text1"/>
                <w:sz w:val="24"/>
                <w:szCs w:val="24"/>
                <w:lang w:eastAsia="bg-BG"/>
              </w:rPr>
            </w:pPr>
          </w:p>
        </w:tc>
      </w:tr>
    </w:tbl>
    <w:p w14:paraId="38481347" w14:textId="4C6423E7" w:rsidR="00756023" w:rsidRPr="00CC3710" w:rsidRDefault="00756023" w:rsidP="004D7985">
      <w:pPr>
        <w:spacing w:after="0" w:line="240" w:lineRule="auto"/>
        <w:rPr>
          <w:rFonts w:ascii="Times New Roman" w:eastAsia="Times New Roman" w:hAnsi="Times New Roman" w:cs="Times New Roman"/>
          <w:color w:val="000000" w:themeColor="text1"/>
          <w:sz w:val="28"/>
          <w:szCs w:val="28"/>
          <w:highlight w:val="yellow"/>
          <w:lang w:val="en-US" w:eastAsia="bg-BG"/>
        </w:rPr>
      </w:pPr>
    </w:p>
    <w:p w14:paraId="38C24217" w14:textId="77777777" w:rsidR="00756023" w:rsidRPr="00CC3710" w:rsidRDefault="00756023" w:rsidP="004D7985">
      <w:pPr>
        <w:spacing w:after="0" w:line="240" w:lineRule="auto"/>
        <w:rPr>
          <w:rFonts w:ascii="Times New Roman" w:eastAsia="Times New Roman" w:hAnsi="Times New Roman" w:cs="Times New Roman"/>
          <w:color w:val="000000" w:themeColor="text1"/>
          <w:sz w:val="28"/>
          <w:szCs w:val="28"/>
          <w:highlight w:val="yellow"/>
          <w:lang w:val="en-US" w:eastAsia="bg-BG"/>
        </w:rPr>
      </w:pPr>
    </w:p>
    <w:tbl>
      <w:tblPr>
        <w:tblW w:w="14034" w:type="dxa"/>
        <w:tblLayout w:type="fixed"/>
        <w:tblCellMar>
          <w:left w:w="70" w:type="dxa"/>
          <w:right w:w="70" w:type="dxa"/>
        </w:tblCellMar>
        <w:tblLook w:val="04A0" w:firstRow="1" w:lastRow="0" w:firstColumn="1" w:lastColumn="0" w:noHBand="0" w:noVBand="1"/>
      </w:tblPr>
      <w:tblGrid>
        <w:gridCol w:w="14034"/>
      </w:tblGrid>
      <w:tr w:rsidR="00891043" w:rsidRPr="00CC3710" w14:paraId="4A295EBF" w14:textId="77777777" w:rsidTr="004D7D09">
        <w:trPr>
          <w:trHeight w:val="375"/>
        </w:trPr>
        <w:tc>
          <w:tcPr>
            <w:tcW w:w="14034" w:type="dxa"/>
            <w:tcBorders>
              <w:top w:val="nil"/>
              <w:left w:val="nil"/>
              <w:bottom w:val="nil"/>
              <w:right w:val="nil"/>
            </w:tcBorders>
            <w:shd w:val="clear" w:color="auto" w:fill="auto"/>
            <w:noWrap/>
            <w:vAlign w:val="center"/>
          </w:tcPr>
          <w:p w14:paraId="6B201DF0" w14:textId="77777777" w:rsidR="00891043" w:rsidRPr="00CC3710" w:rsidRDefault="00891043" w:rsidP="00891043">
            <w:pPr>
              <w:spacing w:after="0" w:line="240" w:lineRule="auto"/>
              <w:rPr>
                <w:rFonts w:ascii="Times New Roman" w:eastAsia="Times New Roman" w:hAnsi="Times New Roman" w:cs="Times New Roman"/>
                <w:color w:val="000000" w:themeColor="text1"/>
                <w:sz w:val="24"/>
                <w:szCs w:val="24"/>
                <w:highlight w:val="yellow"/>
                <w:lang w:eastAsia="bg-BG"/>
              </w:rPr>
            </w:pPr>
          </w:p>
        </w:tc>
      </w:tr>
    </w:tbl>
    <w:p w14:paraId="3024A838" w14:textId="77777777" w:rsidR="002D6B8A" w:rsidRPr="00CC3710" w:rsidRDefault="002D6B8A" w:rsidP="002D6B8A">
      <w:pPr>
        <w:spacing w:line="276" w:lineRule="auto"/>
        <w:rPr>
          <w:rFonts w:ascii="Times New Roman" w:hAnsi="Times New Roman" w:cs="Times New Roman"/>
          <w:b/>
          <w:bCs/>
          <w:i/>
          <w:color w:val="000000" w:themeColor="text1"/>
          <w:sz w:val="24"/>
          <w:szCs w:val="24"/>
          <w:highlight w:val="yellow"/>
          <w:lang w:val="en-US"/>
        </w:rPr>
        <w:sectPr w:rsidR="002D6B8A" w:rsidRPr="00CC3710" w:rsidSect="003369A2">
          <w:pgSz w:w="16838" w:h="11906" w:orient="landscape"/>
          <w:pgMar w:top="1418" w:right="1276" w:bottom="1418" w:left="1418" w:header="709" w:footer="709" w:gutter="0"/>
          <w:cols w:space="708"/>
          <w:docGrid w:linePitch="360"/>
        </w:sectPr>
      </w:pPr>
    </w:p>
    <w:p w14:paraId="460BA0C7" w14:textId="77777777" w:rsidR="00F60576" w:rsidRPr="00CC3710" w:rsidRDefault="00F60576" w:rsidP="00CC3710">
      <w:pPr>
        <w:spacing w:after="0" w:line="276" w:lineRule="auto"/>
        <w:ind w:firstLine="567"/>
        <w:jc w:val="both"/>
        <w:rPr>
          <w:b/>
          <w:color w:val="000000" w:themeColor="text1"/>
          <w:sz w:val="24"/>
        </w:rPr>
      </w:pPr>
      <w:r w:rsidRPr="00CC3710">
        <w:rPr>
          <w:rFonts w:ascii="Times New Roman" w:eastAsia="MS Mincho" w:hAnsi="Times New Roman" w:cs="Times New Roman"/>
          <w:color w:val="000000" w:themeColor="text1"/>
          <w:sz w:val="24"/>
          <w:szCs w:val="24"/>
          <w:lang w:eastAsia="bg-BG"/>
        </w:rPr>
        <w:lastRenderedPageBreak/>
        <w:t xml:space="preserve">Утвърдените със </w:t>
      </w:r>
      <w:r w:rsidRPr="00CC3710">
        <w:rPr>
          <w:rFonts w:ascii="Times New Roman" w:eastAsia="Batang" w:hAnsi="Times New Roman" w:cs="Times New Roman"/>
          <w:color w:val="000000" w:themeColor="text1"/>
          <w:sz w:val="24"/>
          <w:szCs w:val="24"/>
          <w:lang w:eastAsia="bg-BG"/>
        </w:rPr>
        <w:t>Закона за държавния бюджет на Република България за 20</w:t>
      </w:r>
      <w:r w:rsidRPr="00CC3710">
        <w:rPr>
          <w:rFonts w:ascii="Times New Roman" w:eastAsia="Batang" w:hAnsi="Times New Roman" w:cs="Times New Roman"/>
          <w:color w:val="000000" w:themeColor="text1"/>
          <w:sz w:val="24"/>
          <w:szCs w:val="24"/>
          <w:lang w:val="ru-RU" w:eastAsia="bg-BG"/>
        </w:rPr>
        <w:t>21</w:t>
      </w:r>
      <w:r w:rsidRPr="00CC3710">
        <w:rPr>
          <w:rFonts w:ascii="Times New Roman" w:eastAsia="Batang" w:hAnsi="Times New Roman" w:cs="Times New Roman"/>
          <w:color w:val="000000" w:themeColor="text1"/>
          <w:sz w:val="24"/>
          <w:szCs w:val="24"/>
          <w:lang w:eastAsia="bg-BG"/>
        </w:rPr>
        <w:t xml:space="preserve"> г. разходи са в размер на  5 835 400 лв. </w:t>
      </w:r>
      <w:r w:rsidRPr="00CC3710">
        <w:rPr>
          <w:rFonts w:ascii="Times New Roman" w:eastAsia="MS Mincho" w:hAnsi="Times New Roman" w:cs="Times New Roman"/>
          <w:color w:val="000000" w:themeColor="text1"/>
          <w:sz w:val="24"/>
          <w:szCs w:val="24"/>
          <w:lang w:eastAsia="bg-BG"/>
        </w:rPr>
        <w:t>Разходите са разпределени в една функционална област и бюджетна програма „Защита на конкуренцията и контрол на законосъобразността при процедурите по възлагане на обществени поръчки и предоставяне на концесии“.</w:t>
      </w:r>
      <w:r w:rsidRPr="00CC3710">
        <w:rPr>
          <w:rFonts w:ascii="Times New Roman" w:eastAsia="Batang" w:hAnsi="Times New Roman" w:cs="Times New Roman"/>
          <w:color w:val="000000" w:themeColor="text1"/>
          <w:sz w:val="24"/>
          <w:szCs w:val="24"/>
          <w:lang w:eastAsia="bg-BG"/>
        </w:rPr>
        <w:t xml:space="preserve"> </w:t>
      </w:r>
    </w:p>
    <w:p w14:paraId="4723CD1C" w14:textId="77777777" w:rsidR="00F60576" w:rsidRPr="00CC3710" w:rsidRDefault="00F60576" w:rsidP="00CC3710">
      <w:pPr>
        <w:spacing w:after="0" w:line="276" w:lineRule="auto"/>
        <w:ind w:firstLine="567"/>
        <w:jc w:val="both"/>
        <w:rPr>
          <w:rFonts w:ascii="Times New Roman" w:eastAsia="MS Mincho" w:hAnsi="Times New Roman" w:cs="Times New Roman"/>
          <w:color w:val="000000" w:themeColor="text1"/>
          <w:sz w:val="24"/>
          <w:szCs w:val="24"/>
          <w:lang w:eastAsia="bg-BG"/>
        </w:rPr>
      </w:pPr>
      <w:r w:rsidRPr="00CC3710">
        <w:rPr>
          <w:rFonts w:ascii="Times New Roman" w:eastAsia="Batang" w:hAnsi="Times New Roman" w:cs="Times New Roman"/>
          <w:color w:val="000000" w:themeColor="text1"/>
          <w:sz w:val="24"/>
          <w:szCs w:val="24"/>
          <w:lang w:eastAsia="bg-BG"/>
        </w:rPr>
        <w:t>Съгласно чл. 106, ал. 1 от Закона, разходите и максималните размери на новите задължения за разходи по приетите бюджети се извършват в размер до 95 на сто.</w:t>
      </w:r>
      <w:r w:rsidRPr="00CC3710">
        <w:rPr>
          <w:rFonts w:ascii="Times New Roman" w:eastAsia="MS Mincho" w:hAnsi="Times New Roman" w:cs="Times New Roman"/>
          <w:color w:val="000000" w:themeColor="text1"/>
          <w:sz w:val="24"/>
          <w:szCs w:val="24"/>
          <w:lang w:eastAsia="bg-BG"/>
        </w:rPr>
        <w:t xml:space="preserve"> Съгласно  чл. 1 , ал. 2 от Постановление № 408/23.12.2020 г. за изпълнението на държавния бюджет на Република България, заделените 5 %  от разходите се разходват по реда на чл. 106, ал.</w:t>
      </w:r>
      <w:r w:rsidRPr="00CC3710">
        <w:rPr>
          <w:rFonts w:ascii="Times New Roman" w:eastAsia="MS Mincho" w:hAnsi="Times New Roman" w:cs="Times New Roman"/>
          <w:color w:val="000000" w:themeColor="text1"/>
          <w:sz w:val="24"/>
          <w:szCs w:val="24"/>
          <w:lang w:val="en-US" w:eastAsia="bg-BG"/>
        </w:rPr>
        <w:t xml:space="preserve"> </w:t>
      </w:r>
      <w:r w:rsidRPr="00CC3710">
        <w:rPr>
          <w:rFonts w:ascii="Times New Roman" w:eastAsia="MS Mincho" w:hAnsi="Times New Roman" w:cs="Times New Roman"/>
          <w:color w:val="000000" w:themeColor="text1"/>
          <w:sz w:val="24"/>
          <w:szCs w:val="24"/>
          <w:lang w:eastAsia="bg-BG"/>
        </w:rPr>
        <w:t xml:space="preserve">4 от ЗДБРБ за 2021 г. </w:t>
      </w:r>
    </w:p>
    <w:p w14:paraId="43807B58" w14:textId="77777777" w:rsidR="00F60576" w:rsidRPr="00CC3710" w:rsidRDefault="00F60576" w:rsidP="00CC3710">
      <w:pPr>
        <w:tabs>
          <w:tab w:val="left" w:pos="567"/>
          <w:tab w:val="right" w:pos="709"/>
          <w:tab w:val="left" w:pos="1276"/>
        </w:tabs>
        <w:spacing w:after="0" w:line="276" w:lineRule="auto"/>
        <w:ind w:right="33"/>
        <w:jc w:val="both"/>
        <w:rPr>
          <w:rFonts w:ascii="Times New Roman" w:eastAsia="MS Mincho" w:hAnsi="Times New Roman" w:cs="Times New Roman"/>
          <w:color w:val="000000" w:themeColor="text1"/>
          <w:sz w:val="24"/>
          <w:szCs w:val="24"/>
        </w:rPr>
      </w:pPr>
      <w:r w:rsidRPr="00CC3710">
        <w:rPr>
          <w:rFonts w:ascii="Times New Roman" w:eastAsia="Batang" w:hAnsi="Times New Roman" w:cs="Times New Roman"/>
          <w:color w:val="000000" w:themeColor="text1"/>
          <w:sz w:val="24"/>
          <w:szCs w:val="24"/>
          <w:lang w:eastAsia="bg-BG"/>
        </w:rPr>
        <w:tab/>
        <w:t>През периода 01.01.2021 – 30.06.2021 г. по бюджета на КЗК са извършени две корекции, описани в Приложение № 4. На основание</w:t>
      </w:r>
      <w:r w:rsidRPr="00CC3710">
        <w:rPr>
          <w:rFonts w:ascii="Times New Roman" w:eastAsia="MS Mincho" w:hAnsi="Times New Roman" w:cs="Times New Roman"/>
          <w:color w:val="000000" w:themeColor="text1"/>
          <w:sz w:val="24"/>
          <w:szCs w:val="24"/>
        </w:rPr>
        <w:t xml:space="preserve"> Постановление № 113 от 29 март 2021 г. и Постановление № 177 от 29 април 2021 г. на Министерския съвет, от бюджета на Комисия за защита на конкуренцията са извършени трансфери в общ размер на 90 400 лв. към централния бюджет във връзка с одобряване на допълнителни разходи и трансфери по бюджета на Министерство на здравеопазването за 2021 г. </w:t>
      </w:r>
    </w:p>
    <w:p w14:paraId="3308C672" w14:textId="77777777" w:rsidR="00F60576" w:rsidRPr="00CC3710" w:rsidRDefault="00F60576" w:rsidP="00CC3710">
      <w:pPr>
        <w:tabs>
          <w:tab w:val="left" w:pos="567"/>
          <w:tab w:val="right" w:pos="709"/>
          <w:tab w:val="left" w:pos="1276"/>
        </w:tabs>
        <w:spacing w:after="0" w:line="276" w:lineRule="auto"/>
        <w:ind w:right="33"/>
        <w:jc w:val="both"/>
        <w:rPr>
          <w:rFonts w:ascii="Times New Roman" w:eastAsia="Batang" w:hAnsi="Times New Roman" w:cs="Times New Roman"/>
          <w:color w:val="000000" w:themeColor="text1"/>
          <w:sz w:val="24"/>
          <w:szCs w:val="24"/>
          <w:lang w:eastAsia="bg-BG"/>
        </w:rPr>
      </w:pPr>
      <w:r w:rsidRPr="00CC3710">
        <w:rPr>
          <w:rFonts w:ascii="Times New Roman" w:eastAsia="MS Mincho" w:hAnsi="Times New Roman" w:cs="Times New Roman"/>
          <w:color w:val="000000" w:themeColor="text1"/>
          <w:sz w:val="24"/>
          <w:szCs w:val="24"/>
        </w:rPr>
        <w:tab/>
      </w:r>
      <w:r w:rsidRPr="00CC3710">
        <w:rPr>
          <w:rFonts w:ascii="Times New Roman" w:eastAsia="Times New Roman" w:hAnsi="Times New Roman" w:cs="Times New Roman"/>
          <w:color w:val="000000" w:themeColor="text1"/>
          <w:sz w:val="24"/>
          <w:szCs w:val="24"/>
          <w:lang w:eastAsia="bg-BG"/>
        </w:rPr>
        <w:t>В резултат на извършените промени, утвърдените разходи по бюджета на КЗК са в размер на 5 745 000 лева.</w:t>
      </w:r>
    </w:p>
    <w:p w14:paraId="72B1D755" w14:textId="77777777" w:rsidR="00F60576" w:rsidRPr="00CC3710" w:rsidRDefault="00F60576" w:rsidP="00CC3710">
      <w:pPr>
        <w:spacing w:after="0" w:line="276" w:lineRule="auto"/>
        <w:ind w:firstLine="709"/>
        <w:jc w:val="both"/>
        <w:rPr>
          <w:rFonts w:ascii="Times New Roman" w:hAnsi="Times New Roman" w:cs="Times New Roman"/>
          <w:color w:val="000000" w:themeColor="text1"/>
          <w:sz w:val="24"/>
          <w:szCs w:val="24"/>
        </w:rPr>
      </w:pPr>
      <w:r w:rsidRPr="00CC3710">
        <w:rPr>
          <w:rFonts w:ascii="Times New Roman" w:hAnsi="Times New Roman" w:cs="Times New Roman"/>
          <w:color w:val="000000" w:themeColor="text1"/>
          <w:sz w:val="24"/>
          <w:szCs w:val="24"/>
        </w:rPr>
        <w:t>Към 30.06.2021 г. по бюджета на КЗК са отчетени 2 378 864 лева ведомствени разходи, което представлява 41,41 % от размера на утвърдените разходи по бюджета на КЗК за 2021 г.,</w:t>
      </w:r>
      <w:r w:rsidRPr="00CC3710">
        <w:rPr>
          <w:rFonts w:ascii="Times New Roman" w:eastAsia="MS Mincho" w:hAnsi="Times New Roman" w:cs="Times New Roman"/>
          <w:color w:val="000000" w:themeColor="text1"/>
          <w:sz w:val="24"/>
          <w:szCs w:val="24"/>
          <w:lang w:eastAsia="bg-BG"/>
        </w:rPr>
        <w:t xml:space="preserve"> р</w:t>
      </w:r>
      <w:r w:rsidRPr="00CC3710">
        <w:rPr>
          <w:rFonts w:ascii="Times New Roman" w:hAnsi="Times New Roman" w:cs="Times New Roman"/>
          <w:color w:val="000000" w:themeColor="text1"/>
          <w:sz w:val="24"/>
          <w:szCs w:val="24"/>
        </w:rPr>
        <w:t xml:space="preserve">азпределени  както следва: </w:t>
      </w:r>
    </w:p>
    <w:p w14:paraId="2B9EC281" w14:textId="77777777" w:rsidR="00F60576" w:rsidRPr="00CC3710" w:rsidRDefault="00F60576" w:rsidP="00CC3710">
      <w:pPr>
        <w:pStyle w:val="ListParagraph"/>
        <w:numPr>
          <w:ilvl w:val="0"/>
          <w:numId w:val="3"/>
        </w:numPr>
        <w:spacing w:line="276" w:lineRule="auto"/>
        <w:ind w:hanging="11"/>
        <w:rPr>
          <w:rFonts w:ascii="Times New Roman" w:hAnsi="Times New Roman" w:cs="Times New Roman"/>
          <w:color w:val="000000" w:themeColor="text1"/>
        </w:rPr>
      </w:pPr>
      <w:r w:rsidRPr="00CC3710">
        <w:rPr>
          <w:rFonts w:ascii="Times New Roman" w:hAnsi="Times New Roman" w:cs="Times New Roman"/>
          <w:color w:val="000000" w:themeColor="text1"/>
        </w:rPr>
        <w:t>Персонал                                                                                     2 162 766 лв.</w:t>
      </w:r>
    </w:p>
    <w:p w14:paraId="049894A0" w14:textId="77777777" w:rsidR="00F60576" w:rsidRPr="00CC3710" w:rsidRDefault="00F60576" w:rsidP="00CC3710">
      <w:pPr>
        <w:pStyle w:val="ListParagraph"/>
        <w:numPr>
          <w:ilvl w:val="0"/>
          <w:numId w:val="3"/>
        </w:numPr>
        <w:spacing w:line="276" w:lineRule="auto"/>
        <w:ind w:hanging="11"/>
        <w:rPr>
          <w:rFonts w:ascii="Times New Roman" w:hAnsi="Times New Roman" w:cs="Times New Roman"/>
          <w:color w:val="000000" w:themeColor="text1"/>
        </w:rPr>
      </w:pPr>
      <w:r w:rsidRPr="00CC3710">
        <w:rPr>
          <w:rFonts w:ascii="Times New Roman" w:hAnsi="Times New Roman" w:cs="Times New Roman"/>
          <w:color w:val="000000" w:themeColor="text1"/>
        </w:rPr>
        <w:t>Издръжка                                                                                       191 442 лв.</w:t>
      </w:r>
    </w:p>
    <w:p w14:paraId="6C8A75B8" w14:textId="77777777" w:rsidR="00F60576" w:rsidRPr="00CC3710" w:rsidRDefault="00F60576" w:rsidP="00CC3710">
      <w:pPr>
        <w:pStyle w:val="ListParagraph"/>
        <w:numPr>
          <w:ilvl w:val="0"/>
          <w:numId w:val="3"/>
        </w:numPr>
        <w:spacing w:line="276" w:lineRule="auto"/>
        <w:ind w:left="0" w:firstLine="709"/>
        <w:rPr>
          <w:rFonts w:ascii="Times New Roman" w:hAnsi="Times New Roman" w:cs="Times New Roman"/>
          <w:color w:val="000000" w:themeColor="text1"/>
        </w:rPr>
      </w:pPr>
      <w:r w:rsidRPr="00CC3710">
        <w:rPr>
          <w:rFonts w:ascii="Times New Roman" w:hAnsi="Times New Roman" w:cs="Times New Roman"/>
          <w:color w:val="000000" w:themeColor="text1"/>
        </w:rPr>
        <w:t>Капиталови разходи                                                                       24 656 лв.</w:t>
      </w:r>
    </w:p>
    <w:p w14:paraId="16D30B82" w14:textId="77777777" w:rsidR="00F60576" w:rsidRPr="00CC3710" w:rsidRDefault="00F60576" w:rsidP="00CC3710">
      <w:pPr>
        <w:spacing w:after="0" w:line="276" w:lineRule="auto"/>
        <w:ind w:firstLine="708"/>
        <w:jc w:val="both"/>
        <w:rPr>
          <w:rFonts w:ascii="Times New Roman" w:eastAsia="Batang" w:hAnsi="Times New Roman" w:cs="Times New Roman"/>
          <w:color w:val="000000" w:themeColor="text1"/>
          <w:sz w:val="24"/>
          <w:szCs w:val="24"/>
          <w:lang w:eastAsia="bg-BG"/>
        </w:rPr>
      </w:pPr>
    </w:p>
    <w:p w14:paraId="396D30DA" w14:textId="77777777" w:rsidR="00F60576" w:rsidRPr="00CC3710" w:rsidRDefault="00F60576" w:rsidP="00CC3710">
      <w:pPr>
        <w:spacing w:after="0" w:line="276" w:lineRule="auto"/>
        <w:ind w:firstLine="708"/>
        <w:jc w:val="both"/>
        <w:rPr>
          <w:rFonts w:ascii="Times New Roman" w:eastAsia="Batang" w:hAnsi="Times New Roman" w:cs="Times New Roman"/>
          <w:color w:val="000000" w:themeColor="text1"/>
          <w:sz w:val="24"/>
          <w:szCs w:val="24"/>
          <w:lang w:eastAsia="bg-BG"/>
        </w:rPr>
      </w:pPr>
      <w:r w:rsidRPr="00CC3710">
        <w:rPr>
          <w:rFonts w:ascii="Times New Roman" w:eastAsia="Batang" w:hAnsi="Times New Roman" w:cs="Times New Roman"/>
          <w:color w:val="000000" w:themeColor="text1"/>
          <w:sz w:val="24"/>
          <w:szCs w:val="24"/>
          <w:lang w:eastAsia="bg-BG"/>
        </w:rPr>
        <w:t xml:space="preserve">Разходите за персонал включват заплатите и възнагражденията на персонала, нает по трудови и служебни правоотношения, други възнаграждения и плащания, разходи за възнаграждения на извънщатния персонал, обезщетения по Кодекса на труда и Закона за държавния служител и задължителните осигурителни вноски от работодателя.  </w:t>
      </w:r>
    </w:p>
    <w:p w14:paraId="2CF7DEA2" w14:textId="77777777" w:rsidR="00F60576" w:rsidRPr="00CC3710" w:rsidRDefault="00F60576" w:rsidP="00CC3710">
      <w:pPr>
        <w:spacing w:after="0" w:line="276" w:lineRule="auto"/>
        <w:ind w:firstLine="708"/>
        <w:jc w:val="both"/>
        <w:rPr>
          <w:rFonts w:ascii="Times New Roman" w:eastAsia="Batang" w:hAnsi="Times New Roman" w:cs="Times New Roman"/>
          <w:color w:val="000000" w:themeColor="text1"/>
          <w:sz w:val="24"/>
          <w:szCs w:val="24"/>
          <w:lang w:eastAsia="bg-BG"/>
        </w:rPr>
      </w:pPr>
      <w:r w:rsidRPr="00CC3710">
        <w:rPr>
          <w:rFonts w:ascii="Times New Roman" w:eastAsia="Times New Roman" w:hAnsi="Times New Roman" w:cs="Times New Roman"/>
          <w:color w:val="000000" w:themeColor="text1"/>
          <w:sz w:val="24"/>
          <w:szCs w:val="24"/>
          <w:lang w:eastAsia="bg-BG"/>
        </w:rPr>
        <w:t xml:space="preserve">Разходите за ведомствена издръжка в КЗК са в размер на 191 442 лв. Най-голямата част от тях – 82 482 лв., са за външни услуги, включващи </w:t>
      </w:r>
      <w:r w:rsidRPr="00CC3710">
        <w:rPr>
          <w:rFonts w:ascii="Times New Roman" w:eastAsia="Batang" w:hAnsi="Times New Roman" w:cs="Times New Roman"/>
          <w:color w:val="000000" w:themeColor="text1"/>
          <w:sz w:val="24"/>
          <w:szCs w:val="24"/>
          <w:lang w:eastAsia="bg-BG"/>
        </w:rPr>
        <w:t>разходи за охрана, абонаментно обслужване на асансьорите и пожаро-известителната система в сградата, разходи за телефонни услуги, пощенски разходи за страната и чужбина, интернет услуги, копирни услуги, сертификати за електронни подписи, абонаментна поддръжка на софтуер за програмни продукти, на антивирусен софтуер и др. За обезпечаване на нормалния процес на работата са извършени разходи за канцеларски материали, хигиенни материали, консумативи за офис оборудване и др. на обща стойност 13 734 лв. Във връзка с мерките за предотвратяване на разпространението на COVID-19, към 30.06.2021 г. от бюджета на КЗК са извършени разходи в общ размер на 1 921,23 лв. за дезинфекция на работните помещения. Извършените разходи</w:t>
      </w:r>
      <w:r w:rsidRPr="00CC3710">
        <w:rPr>
          <w:rFonts w:ascii="Times New Roman" w:eastAsia="MS Mincho" w:hAnsi="Times New Roman" w:cs="Times New Roman"/>
          <w:color w:val="000000" w:themeColor="text1"/>
          <w:sz w:val="24"/>
          <w:szCs w:val="24"/>
          <w:lang w:eastAsia="bg-BG"/>
        </w:rPr>
        <w:t xml:space="preserve"> за заплащане на електроенергия, топлоенергия, вода и горива за</w:t>
      </w:r>
      <w:r w:rsidRPr="00CC3710">
        <w:rPr>
          <w:rFonts w:ascii="Times New Roman" w:eastAsia="Batang" w:hAnsi="Times New Roman" w:cs="Times New Roman"/>
          <w:color w:val="000000" w:themeColor="text1"/>
          <w:sz w:val="24"/>
          <w:szCs w:val="24"/>
          <w:lang w:eastAsia="bg-BG"/>
        </w:rPr>
        <w:t xml:space="preserve"> автомобилите на КЗК, е в размер на общо 37 492 лв., от които с най-голям относителен дял са разходите за топлоенергия. Извършените разходи за текущ ремонт са в размер на 33 392 лв., в т.ч. за извършен </w:t>
      </w:r>
      <w:r w:rsidRPr="00CC3710">
        <w:rPr>
          <w:rFonts w:ascii="Times New Roman" w:eastAsia="Batang" w:hAnsi="Times New Roman" w:cs="Times New Roman"/>
          <w:color w:val="000000" w:themeColor="text1"/>
          <w:sz w:val="24"/>
          <w:szCs w:val="24"/>
          <w:lang w:eastAsia="bg-BG"/>
        </w:rPr>
        <w:lastRenderedPageBreak/>
        <w:t xml:space="preserve">ремонт на покрива на сградата  28 727 лв., за ремонт на асансьорните уредби и на един от служебните автомобили. През първото полугодие на 2021 г. не са извършвани разходи за командировки в чужбина на служители на КЗК, като във връзка с предприетите мерки за предотвратяване на разпространението на COVID-19, участието на служители на КЗК в срещите на работни групи към Европейската мрежа по конкуренция, семинари, форуми и конференции, организирани от Главна дирекция „Конкуренция“ на Европейската комисия, се извършва дистанционно. Отчетените разходи за командировки в страната са в размер на 30 лв. За застраховане на леките автомобили на КЗК за 2021 г. и 2022 г., както и за медицински застраховки на служителите, са изплатени общо 10 309 лв. Отчетените разходи за платени банкови такси и представителните разходи са в размер на общо 4 632 лв. През отчетния период са извършени разходи в размер 762 лв. за закупуване на сборници с нормативни актове.  </w:t>
      </w:r>
    </w:p>
    <w:p w14:paraId="3C24B29C" w14:textId="77777777" w:rsidR="00F60576" w:rsidRPr="00CC3710" w:rsidRDefault="00F60576" w:rsidP="00CC3710">
      <w:pPr>
        <w:tabs>
          <w:tab w:val="left" w:pos="0"/>
          <w:tab w:val="left" w:pos="709"/>
        </w:tabs>
        <w:spacing w:after="0" w:line="276" w:lineRule="auto"/>
        <w:jc w:val="both"/>
        <w:rPr>
          <w:rFonts w:ascii="Times New Roman" w:eastAsia="MS Mincho" w:hAnsi="Times New Roman" w:cs="Times New Roman"/>
          <w:color w:val="000000" w:themeColor="text1"/>
          <w:sz w:val="24"/>
          <w:szCs w:val="24"/>
          <w:lang w:eastAsia="bg-BG"/>
        </w:rPr>
      </w:pPr>
      <w:r w:rsidRPr="00CC3710">
        <w:rPr>
          <w:color w:val="000000" w:themeColor="text1"/>
        </w:rPr>
        <w:tab/>
      </w:r>
      <w:r w:rsidRPr="00CC3710">
        <w:rPr>
          <w:rFonts w:ascii="Times New Roman" w:eastAsia="Batang" w:hAnsi="Times New Roman" w:cs="Times New Roman"/>
          <w:color w:val="000000" w:themeColor="text1"/>
          <w:sz w:val="24"/>
          <w:szCs w:val="24"/>
          <w:lang w:eastAsia="bg-BG"/>
        </w:rPr>
        <w:t xml:space="preserve"> През отчетния период са извършени и разходи на обща стойност 10 713 лв. за заплащане на съдебни такси за производства пред Върховния административен съд, за  обнародване на актове на КЗК в Държавен вестник, за закупуване на винетни стикери за служебните автомобили за 2020 г. и за внесен данък на служебните автомобили на КЗК за 2021 г..</w:t>
      </w:r>
    </w:p>
    <w:p w14:paraId="66E4E8A1" w14:textId="77777777" w:rsidR="00F60576" w:rsidRPr="00CC3710" w:rsidRDefault="00F60576" w:rsidP="00CC3710">
      <w:pPr>
        <w:spacing w:after="0" w:line="276" w:lineRule="auto"/>
        <w:ind w:firstLine="567"/>
        <w:jc w:val="both"/>
        <w:rPr>
          <w:rFonts w:ascii="Times New Roman" w:eastAsia="Batang" w:hAnsi="Times New Roman" w:cs="Times New Roman"/>
          <w:color w:val="000000" w:themeColor="text1"/>
          <w:sz w:val="24"/>
          <w:szCs w:val="24"/>
          <w:lang w:eastAsia="bg-BG"/>
        </w:rPr>
      </w:pPr>
      <w:r w:rsidRPr="00CC3710">
        <w:rPr>
          <w:rFonts w:ascii="Times New Roman" w:eastAsia="Batang" w:hAnsi="Times New Roman" w:cs="Times New Roman"/>
          <w:color w:val="000000" w:themeColor="text1"/>
          <w:sz w:val="24"/>
          <w:szCs w:val="24"/>
          <w:lang w:eastAsia="bg-BG"/>
        </w:rPr>
        <w:t>Средствата на капиталови разходи, отчетени през първата половина на 2021 г. са общо 24 656 лв., в т.ч. 1 191 лв. за инсталиране на алармена система и разходи за закупуване на сейф, доставка и монтаж на метални решетки и блиндирана врата на обща стойност 23 465 лв.</w:t>
      </w:r>
    </w:p>
    <w:p w14:paraId="76BD6025" w14:textId="77777777" w:rsidR="00F60576" w:rsidRPr="00CC3710" w:rsidRDefault="00F60576" w:rsidP="00CC3710">
      <w:pPr>
        <w:spacing w:after="0" w:line="276" w:lineRule="auto"/>
        <w:ind w:firstLine="709"/>
        <w:jc w:val="both"/>
        <w:rPr>
          <w:rFonts w:ascii="Times New Roman" w:eastAsia="Batang" w:hAnsi="Times New Roman" w:cs="Times New Roman"/>
          <w:color w:val="000000" w:themeColor="text1"/>
          <w:sz w:val="24"/>
          <w:szCs w:val="24"/>
          <w:lang w:eastAsia="bg-BG"/>
        </w:rPr>
      </w:pPr>
      <w:r w:rsidRPr="00CC3710">
        <w:rPr>
          <w:rFonts w:ascii="Times New Roman" w:eastAsia="Batang" w:hAnsi="Times New Roman" w:cs="Times New Roman"/>
          <w:color w:val="000000" w:themeColor="text1"/>
          <w:sz w:val="24"/>
          <w:szCs w:val="24"/>
          <w:lang w:eastAsia="bg-BG"/>
        </w:rPr>
        <w:t>От месец декември 2020 г. КЗК стартира проект „Развитие на информационната система и публичния регистър на Комисията за защита на конкуренцията“. Проектът се изпълнява по Договор № BG05SFOP001-1.014-0001-С01/21.12.2020 г. за предоставяне на безвъзмездна финансова помощ по Оперативна програма „Добро управление”, съфинансирана от Европейския съюз чрез Европейския социален фонд. Общата стойност на проекта е в размер на 1 999 998 лв., като безвъзмездната финансова помощ е в съотношение 85% от Европейския социален фонд и 15% национално съфинансиране. Срокът за изпълнение е от 01.12.2020 г. до 31.12.2022 г.</w:t>
      </w:r>
    </w:p>
    <w:p w14:paraId="5A1E6EB7" w14:textId="6055DB6F" w:rsidR="00F60576" w:rsidRPr="00CC3710" w:rsidRDefault="00F60576" w:rsidP="00CC3710">
      <w:pPr>
        <w:spacing w:after="0" w:line="276" w:lineRule="auto"/>
        <w:ind w:firstLine="708"/>
        <w:jc w:val="both"/>
        <w:rPr>
          <w:rFonts w:ascii="Times New Roman" w:eastAsia="Batang" w:hAnsi="Times New Roman" w:cs="Times New Roman"/>
          <w:color w:val="000000" w:themeColor="text1"/>
          <w:sz w:val="24"/>
          <w:szCs w:val="24"/>
          <w:lang w:eastAsia="bg-BG"/>
        </w:rPr>
      </w:pPr>
      <w:r w:rsidRPr="001411A6">
        <w:rPr>
          <w:rFonts w:ascii="Times New Roman" w:eastAsia="Batang" w:hAnsi="Times New Roman" w:cs="Times New Roman"/>
          <w:color w:val="000000" w:themeColor="text1"/>
          <w:sz w:val="24"/>
          <w:szCs w:val="24"/>
          <w:lang w:eastAsia="bg-BG"/>
        </w:rPr>
        <w:t xml:space="preserve">В отчета за разходите по бюджетни програми са отразени ведомствени разходи </w:t>
      </w:r>
      <w:r w:rsidR="001411A6" w:rsidRPr="001411A6">
        <w:rPr>
          <w:rFonts w:ascii="Times New Roman" w:eastAsia="Batang" w:hAnsi="Times New Roman" w:cs="Times New Roman"/>
          <w:color w:val="000000" w:themeColor="text1"/>
          <w:sz w:val="24"/>
          <w:szCs w:val="24"/>
          <w:lang w:eastAsia="bg-BG"/>
        </w:rPr>
        <w:t xml:space="preserve">по други бюджети и </w:t>
      </w:r>
      <w:r w:rsidRPr="001411A6">
        <w:rPr>
          <w:rFonts w:ascii="Times New Roman" w:eastAsia="Batang" w:hAnsi="Times New Roman" w:cs="Times New Roman"/>
          <w:color w:val="000000" w:themeColor="text1"/>
          <w:sz w:val="24"/>
          <w:szCs w:val="24"/>
          <w:lang w:eastAsia="bg-BG"/>
        </w:rPr>
        <w:t>сметки за средства от Европейския съюз в размер на 14 880 лв., представляващи извършени разходи по договори за външни услуги, свързани с проекта. Към 30.06.2021 г. по проекта няма постъпило финансиране, поради което разходите са</w:t>
      </w:r>
      <w:r w:rsidRPr="00CC3710">
        <w:rPr>
          <w:rFonts w:ascii="Times New Roman" w:eastAsia="Batang" w:hAnsi="Times New Roman" w:cs="Times New Roman"/>
          <w:color w:val="000000" w:themeColor="text1"/>
          <w:sz w:val="24"/>
          <w:szCs w:val="24"/>
          <w:lang w:eastAsia="bg-BG"/>
        </w:rPr>
        <w:t xml:space="preserve"> изплатени със средства от бюджета на КЗК, чрез извършен вътрешен трансфер. </w:t>
      </w:r>
    </w:p>
    <w:p w14:paraId="471AF0FA" w14:textId="751E8981" w:rsidR="00756023" w:rsidRPr="00CC3710" w:rsidRDefault="00756023" w:rsidP="00CC3710">
      <w:pPr>
        <w:spacing w:after="0" w:line="276" w:lineRule="auto"/>
        <w:ind w:firstLine="708"/>
        <w:jc w:val="both"/>
        <w:rPr>
          <w:rFonts w:ascii="Times New Roman" w:eastAsia="Batang" w:hAnsi="Times New Roman" w:cs="Times New Roman"/>
          <w:color w:val="000000" w:themeColor="text1"/>
          <w:sz w:val="24"/>
          <w:szCs w:val="24"/>
          <w:lang w:eastAsia="bg-BG"/>
        </w:rPr>
      </w:pPr>
    </w:p>
    <w:p w14:paraId="2F8E192B" w14:textId="00FEFB10" w:rsidR="00F60576" w:rsidRPr="00CC3710" w:rsidRDefault="00F60576" w:rsidP="00CC3710">
      <w:pPr>
        <w:spacing w:after="0" w:line="276" w:lineRule="auto"/>
        <w:ind w:firstLine="708"/>
        <w:jc w:val="both"/>
        <w:rPr>
          <w:rFonts w:ascii="Times New Roman" w:eastAsia="Batang" w:hAnsi="Times New Roman" w:cs="Times New Roman"/>
          <w:color w:val="000000" w:themeColor="text1"/>
          <w:sz w:val="24"/>
          <w:szCs w:val="24"/>
          <w:lang w:eastAsia="bg-BG"/>
        </w:rPr>
      </w:pPr>
    </w:p>
    <w:p w14:paraId="50F24B82" w14:textId="319C79F7" w:rsidR="00F60576" w:rsidRPr="00CC3710" w:rsidRDefault="00F60576" w:rsidP="00CC3710">
      <w:pPr>
        <w:spacing w:after="0" w:line="276" w:lineRule="auto"/>
        <w:ind w:firstLine="708"/>
        <w:jc w:val="both"/>
        <w:rPr>
          <w:rFonts w:ascii="Times New Roman" w:eastAsia="Batang" w:hAnsi="Times New Roman" w:cs="Times New Roman"/>
          <w:color w:val="000000" w:themeColor="text1"/>
          <w:sz w:val="24"/>
          <w:szCs w:val="24"/>
          <w:lang w:eastAsia="bg-BG"/>
        </w:rPr>
      </w:pPr>
    </w:p>
    <w:p w14:paraId="5AFFCBC0" w14:textId="46C8EF59" w:rsidR="00F60576" w:rsidRPr="00CC3710" w:rsidRDefault="00F60576" w:rsidP="00CC3710">
      <w:pPr>
        <w:spacing w:after="0" w:line="276" w:lineRule="auto"/>
        <w:ind w:firstLine="708"/>
        <w:jc w:val="both"/>
        <w:rPr>
          <w:rFonts w:ascii="Times New Roman" w:eastAsia="Batang" w:hAnsi="Times New Roman" w:cs="Times New Roman"/>
          <w:color w:val="000000" w:themeColor="text1"/>
          <w:sz w:val="24"/>
          <w:szCs w:val="24"/>
          <w:lang w:eastAsia="bg-BG"/>
        </w:rPr>
      </w:pPr>
    </w:p>
    <w:p w14:paraId="25930AF7" w14:textId="5B9EADE8" w:rsidR="00F60576" w:rsidRPr="00CC3710" w:rsidRDefault="00F60576" w:rsidP="00756023">
      <w:pPr>
        <w:spacing w:after="0" w:line="240" w:lineRule="auto"/>
        <w:ind w:firstLine="708"/>
        <w:jc w:val="both"/>
        <w:rPr>
          <w:rFonts w:ascii="Times New Roman" w:eastAsia="Batang" w:hAnsi="Times New Roman" w:cs="Times New Roman"/>
          <w:color w:val="000000" w:themeColor="text1"/>
          <w:sz w:val="24"/>
          <w:szCs w:val="24"/>
          <w:lang w:eastAsia="bg-BG"/>
        </w:rPr>
      </w:pPr>
    </w:p>
    <w:p w14:paraId="71828E46" w14:textId="1CEE8B22" w:rsidR="00F60576" w:rsidRPr="00CC3710" w:rsidRDefault="00F60576" w:rsidP="00756023">
      <w:pPr>
        <w:spacing w:after="0" w:line="240" w:lineRule="auto"/>
        <w:ind w:firstLine="708"/>
        <w:jc w:val="both"/>
        <w:rPr>
          <w:rFonts w:ascii="Times New Roman" w:eastAsia="Batang" w:hAnsi="Times New Roman" w:cs="Times New Roman"/>
          <w:color w:val="000000" w:themeColor="text1"/>
          <w:sz w:val="24"/>
          <w:szCs w:val="24"/>
          <w:lang w:eastAsia="bg-BG"/>
        </w:rPr>
      </w:pPr>
    </w:p>
    <w:p w14:paraId="065C6774" w14:textId="2E116B39" w:rsidR="00F60576" w:rsidRPr="00CC3710" w:rsidRDefault="00F60576" w:rsidP="00756023">
      <w:pPr>
        <w:spacing w:after="0" w:line="240" w:lineRule="auto"/>
        <w:ind w:firstLine="708"/>
        <w:jc w:val="both"/>
        <w:rPr>
          <w:rFonts w:ascii="Times New Roman" w:eastAsia="Batang" w:hAnsi="Times New Roman" w:cs="Times New Roman"/>
          <w:color w:val="000000" w:themeColor="text1"/>
          <w:sz w:val="24"/>
          <w:szCs w:val="24"/>
          <w:lang w:eastAsia="bg-BG"/>
        </w:rPr>
      </w:pPr>
    </w:p>
    <w:p w14:paraId="6D4B2439" w14:textId="01D24640" w:rsidR="00F60576" w:rsidRPr="00CC3710" w:rsidRDefault="00F60576" w:rsidP="00756023">
      <w:pPr>
        <w:spacing w:after="0" w:line="240" w:lineRule="auto"/>
        <w:ind w:firstLine="708"/>
        <w:jc w:val="both"/>
        <w:rPr>
          <w:rFonts w:ascii="Times New Roman" w:eastAsia="Batang" w:hAnsi="Times New Roman" w:cs="Times New Roman"/>
          <w:color w:val="000000" w:themeColor="text1"/>
          <w:sz w:val="24"/>
          <w:szCs w:val="24"/>
          <w:lang w:eastAsia="bg-BG"/>
        </w:rPr>
      </w:pPr>
    </w:p>
    <w:p w14:paraId="7ADDC6F5" w14:textId="083724F3" w:rsidR="00F60576" w:rsidRPr="00CC3710" w:rsidRDefault="00F60576" w:rsidP="00756023">
      <w:pPr>
        <w:spacing w:after="0" w:line="240" w:lineRule="auto"/>
        <w:ind w:firstLine="708"/>
        <w:jc w:val="both"/>
        <w:rPr>
          <w:rFonts w:ascii="Times New Roman" w:eastAsia="Batang" w:hAnsi="Times New Roman" w:cs="Times New Roman"/>
          <w:color w:val="000000" w:themeColor="text1"/>
          <w:sz w:val="24"/>
          <w:szCs w:val="24"/>
          <w:lang w:eastAsia="bg-BG"/>
        </w:rPr>
      </w:pPr>
    </w:p>
    <w:p w14:paraId="469135CD" w14:textId="0FDAFA3D" w:rsidR="00F60576" w:rsidRPr="00CC3710" w:rsidRDefault="00F60576" w:rsidP="00756023">
      <w:pPr>
        <w:spacing w:after="0" w:line="240" w:lineRule="auto"/>
        <w:ind w:firstLine="708"/>
        <w:jc w:val="both"/>
        <w:rPr>
          <w:rFonts w:ascii="Times New Roman" w:eastAsia="Batang" w:hAnsi="Times New Roman" w:cs="Times New Roman"/>
          <w:color w:val="000000" w:themeColor="text1"/>
          <w:sz w:val="24"/>
          <w:szCs w:val="24"/>
          <w:lang w:eastAsia="bg-BG"/>
        </w:rPr>
      </w:pPr>
    </w:p>
    <w:p w14:paraId="5EBE9DF2" w14:textId="77777777" w:rsidR="00F60576" w:rsidRPr="00CC3710" w:rsidRDefault="00F60576" w:rsidP="00756023">
      <w:pPr>
        <w:spacing w:after="0" w:line="240" w:lineRule="auto"/>
        <w:ind w:firstLine="708"/>
        <w:jc w:val="both"/>
        <w:rPr>
          <w:rFonts w:ascii="Times New Roman" w:eastAsia="Batang" w:hAnsi="Times New Roman" w:cs="Times New Roman"/>
          <w:color w:val="000000" w:themeColor="text1"/>
          <w:sz w:val="24"/>
          <w:szCs w:val="24"/>
          <w:lang w:eastAsia="bg-BG"/>
        </w:rPr>
      </w:pPr>
    </w:p>
    <w:p w14:paraId="1DAAB52F" w14:textId="77777777" w:rsidR="00756023" w:rsidRPr="00CC3710" w:rsidRDefault="00756023" w:rsidP="00756023">
      <w:pPr>
        <w:spacing w:line="276" w:lineRule="auto"/>
        <w:rPr>
          <w:rFonts w:ascii="Times New Roman" w:hAnsi="Times New Roman" w:cs="Times New Roman"/>
          <w:b/>
          <w:bCs/>
          <w:i/>
          <w:color w:val="000000" w:themeColor="text1"/>
          <w:sz w:val="24"/>
          <w:szCs w:val="24"/>
        </w:rPr>
      </w:pPr>
      <w:r w:rsidRPr="00CC3710">
        <w:rPr>
          <w:rFonts w:ascii="Times New Roman" w:hAnsi="Times New Roman" w:cs="Times New Roman"/>
          <w:b/>
          <w:bCs/>
          <w:i/>
          <w:color w:val="000000" w:themeColor="text1"/>
          <w:sz w:val="24"/>
          <w:szCs w:val="24"/>
        </w:rPr>
        <w:lastRenderedPageBreak/>
        <w:t xml:space="preserve">Приложение № 3 - </w:t>
      </w:r>
      <w:r w:rsidRPr="00CC3710">
        <w:rPr>
          <w:rFonts w:ascii="Times New Roman" w:hAnsi="Times New Roman" w:cs="Times New Roman"/>
          <w:bCs/>
          <w:color w:val="000000" w:themeColor="text1"/>
          <w:sz w:val="24"/>
          <w:szCs w:val="24"/>
        </w:rPr>
        <w:t>Финансиране на консолидираните разходи</w:t>
      </w:r>
    </w:p>
    <w:tbl>
      <w:tblPr>
        <w:tblW w:w="9640" w:type="dxa"/>
        <w:tblInd w:w="-147" w:type="dxa"/>
        <w:tblCellMar>
          <w:left w:w="70" w:type="dxa"/>
          <w:right w:w="70" w:type="dxa"/>
        </w:tblCellMar>
        <w:tblLook w:val="04A0" w:firstRow="1" w:lastRow="0" w:firstColumn="1" w:lastColumn="0" w:noHBand="0" w:noVBand="1"/>
      </w:tblPr>
      <w:tblGrid>
        <w:gridCol w:w="6238"/>
        <w:gridCol w:w="1134"/>
        <w:gridCol w:w="1134"/>
        <w:gridCol w:w="1134"/>
      </w:tblGrid>
      <w:tr w:rsidR="00F60576" w:rsidRPr="00CC3710" w14:paraId="06E61271" w14:textId="77777777" w:rsidTr="00745CD0">
        <w:trPr>
          <w:trHeight w:val="750"/>
        </w:trPr>
        <w:tc>
          <w:tcPr>
            <w:tcW w:w="6238"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5C583CF6" w14:textId="77777777" w:rsidR="00F60576" w:rsidRPr="00CC3710" w:rsidRDefault="00F60576" w:rsidP="00745CD0">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Финансиране на консолидираните разходи, обхванати в програмния бюджет</w:t>
            </w:r>
            <w:r w:rsidRPr="00CC3710">
              <w:rPr>
                <w:rFonts w:ascii="Times New Roman" w:eastAsia="Times New Roman" w:hAnsi="Times New Roman" w:cs="Times New Roman"/>
                <w:b/>
                <w:bCs/>
                <w:color w:val="000000" w:themeColor="text1"/>
                <w:lang w:eastAsia="bg-BG"/>
              </w:rPr>
              <w:br/>
              <w:t>(в лева)</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2788AD" w14:textId="77777777" w:rsidR="00F60576" w:rsidRPr="00CC3710" w:rsidRDefault="00F60576" w:rsidP="00745CD0">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Закон</w:t>
            </w:r>
          </w:p>
        </w:tc>
        <w:tc>
          <w:tcPr>
            <w:tcW w:w="1134" w:type="dxa"/>
            <w:tcBorders>
              <w:top w:val="single" w:sz="4" w:space="0" w:color="auto"/>
              <w:left w:val="nil"/>
              <w:bottom w:val="single" w:sz="4" w:space="0" w:color="auto"/>
              <w:right w:val="single" w:sz="4" w:space="0" w:color="auto"/>
            </w:tcBorders>
            <w:shd w:val="clear" w:color="D9D9D9" w:fill="E6E6E6"/>
            <w:vAlign w:val="center"/>
            <w:hideMark/>
          </w:tcPr>
          <w:p w14:paraId="47B3307C" w14:textId="77777777" w:rsidR="00F60576" w:rsidRPr="00CC3710" w:rsidRDefault="00F60576" w:rsidP="00745CD0">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Уточнен план</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57E481" w14:textId="77777777" w:rsidR="00F60576" w:rsidRPr="00CC3710" w:rsidRDefault="00F60576" w:rsidP="00745CD0">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Отчет</w:t>
            </w:r>
          </w:p>
        </w:tc>
      </w:tr>
      <w:tr w:rsidR="00F60576" w:rsidRPr="00CC3710" w14:paraId="18838800"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435E29E7" w14:textId="77777777" w:rsidR="00F60576" w:rsidRPr="00CC3710" w:rsidRDefault="00F60576" w:rsidP="00745CD0">
            <w:pPr>
              <w:spacing w:after="0" w:line="240" w:lineRule="auto"/>
              <w:jc w:val="both"/>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Общо консолидирани разходи:</w:t>
            </w:r>
          </w:p>
        </w:tc>
        <w:tc>
          <w:tcPr>
            <w:tcW w:w="1134" w:type="dxa"/>
            <w:tcBorders>
              <w:top w:val="nil"/>
              <w:left w:val="nil"/>
              <w:bottom w:val="single" w:sz="4" w:space="0" w:color="auto"/>
              <w:right w:val="single" w:sz="4" w:space="0" w:color="auto"/>
            </w:tcBorders>
            <w:shd w:val="clear" w:color="D9D9D9" w:fill="E6E6E6"/>
            <w:noWrap/>
            <w:vAlign w:val="bottom"/>
            <w:hideMark/>
          </w:tcPr>
          <w:p w14:paraId="0E7A6D3F"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5 835 400</w:t>
            </w:r>
          </w:p>
        </w:tc>
        <w:tc>
          <w:tcPr>
            <w:tcW w:w="1134" w:type="dxa"/>
            <w:tcBorders>
              <w:top w:val="nil"/>
              <w:left w:val="nil"/>
              <w:bottom w:val="single" w:sz="4" w:space="0" w:color="auto"/>
              <w:right w:val="single" w:sz="4" w:space="0" w:color="auto"/>
            </w:tcBorders>
            <w:shd w:val="clear" w:color="D9D9D9" w:fill="E6E6E6"/>
            <w:noWrap/>
            <w:vAlign w:val="bottom"/>
            <w:hideMark/>
          </w:tcPr>
          <w:p w14:paraId="09BDB3B3"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5 745 000</w:t>
            </w:r>
          </w:p>
        </w:tc>
        <w:tc>
          <w:tcPr>
            <w:tcW w:w="1134" w:type="dxa"/>
            <w:tcBorders>
              <w:top w:val="nil"/>
              <w:left w:val="nil"/>
              <w:bottom w:val="single" w:sz="4" w:space="0" w:color="auto"/>
              <w:right w:val="single" w:sz="4" w:space="0" w:color="auto"/>
            </w:tcBorders>
            <w:shd w:val="clear" w:color="D9D9D9" w:fill="E6E6E6"/>
            <w:noWrap/>
            <w:vAlign w:val="bottom"/>
            <w:hideMark/>
          </w:tcPr>
          <w:p w14:paraId="4DA39B24"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2 393 794</w:t>
            </w:r>
          </w:p>
        </w:tc>
      </w:tr>
      <w:tr w:rsidR="00F60576" w:rsidRPr="00CC3710" w14:paraId="748A45F4"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09052C43" w14:textId="77777777" w:rsidR="00F60576" w:rsidRPr="00CC3710" w:rsidRDefault="00F60576" w:rsidP="00745CD0">
            <w:pPr>
              <w:spacing w:after="0" w:line="240" w:lineRule="auto"/>
              <w:jc w:val="both"/>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Общо финансиране:</w:t>
            </w:r>
          </w:p>
        </w:tc>
        <w:tc>
          <w:tcPr>
            <w:tcW w:w="1134" w:type="dxa"/>
            <w:tcBorders>
              <w:top w:val="nil"/>
              <w:left w:val="nil"/>
              <w:bottom w:val="single" w:sz="4" w:space="0" w:color="auto"/>
              <w:right w:val="single" w:sz="4" w:space="0" w:color="auto"/>
            </w:tcBorders>
            <w:shd w:val="clear" w:color="D9D9D9" w:fill="E6E6E6"/>
            <w:noWrap/>
            <w:vAlign w:val="bottom"/>
            <w:hideMark/>
          </w:tcPr>
          <w:p w14:paraId="267FCC06"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5 835 400</w:t>
            </w:r>
          </w:p>
        </w:tc>
        <w:tc>
          <w:tcPr>
            <w:tcW w:w="1134" w:type="dxa"/>
            <w:tcBorders>
              <w:top w:val="nil"/>
              <w:left w:val="nil"/>
              <w:bottom w:val="single" w:sz="4" w:space="0" w:color="auto"/>
              <w:right w:val="single" w:sz="4" w:space="0" w:color="auto"/>
            </w:tcBorders>
            <w:shd w:val="clear" w:color="D9D9D9" w:fill="E6E6E6"/>
            <w:noWrap/>
            <w:vAlign w:val="bottom"/>
            <w:hideMark/>
          </w:tcPr>
          <w:p w14:paraId="0FC2D92D"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5 745 000</w:t>
            </w:r>
          </w:p>
        </w:tc>
        <w:tc>
          <w:tcPr>
            <w:tcW w:w="1134" w:type="dxa"/>
            <w:tcBorders>
              <w:top w:val="nil"/>
              <w:left w:val="nil"/>
              <w:bottom w:val="single" w:sz="4" w:space="0" w:color="auto"/>
              <w:right w:val="single" w:sz="4" w:space="0" w:color="auto"/>
            </w:tcBorders>
            <w:shd w:val="clear" w:color="D9D9D9" w:fill="E6E6E6"/>
            <w:noWrap/>
            <w:vAlign w:val="bottom"/>
            <w:hideMark/>
          </w:tcPr>
          <w:p w14:paraId="41124267"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2 393 794</w:t>
            </w:r>
          </w:p>
        </w:tc>
      </w:tr>
      <w:tr w:rsidR="00F60576" w:rsidRPr="00CC3710" w14:paraId="66DD240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7AA87FD" w14:textId="77777777" w:rsidR="00F60576" w:rsidRPr="00CC3710" w:rsidRDefault="00F60576" w:rsidP="00745CD0">
            <w:pPr>
              <w:spacing w:after="0" w:line="240" w:lineRule="auto"/>
              <w:jc w:val="both"/>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 xml:space="preserve">   От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642FF9E8"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5 835 400</w:t>
            </w:r>
          </w:p>
        </w:tc>
        <w:tc>
          <w:tcPr>
            <w:tcW w:w="1134" w:type="dxa"/>
            <w:tcBorders>
              <w:top w:val="nil"/>
              <w:left w:val="nil"/>
              <w:bottom w:val="single" w:sz="4" w:space="0" w:color="auto"/>
              <w:right w:val="single" w:sz="4" w:space="0" w:color="auto"/>
            </w:tcBorders>
            <w:shd w:val="clear" w:color="auto" w:fill="auto"/>
            <w:noWrap/>
            <w:vAlign w:val="bottom"/>
            <w:hideMark/>
          </w:tcPr>
          <w:p w14:paraId="1F932302"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5 745 000</w:t>
            </w:r>
          </w:p>
        </w:tc>
        <w:tc>
          <w:tcPr>
            <w:tcW w:w="1134" w:type="dxa"/>
            <w:tcBorders>
              <w:top w:val="nil"/>
              <w:left w:val="nil"/>
              <w:bottom w:val="single" w:sz="4" w:space="0" w:color="auto"/>
              <w:right w:val="single" w:sz="4" w:space="0" w:color="auto"/>
            </w:tcBorders>
            <w:shd w:val="clear" w:color="auto" w:fill="auto"/>
            <w:noWrap/>
            <w:vAlign w:val="bottom"/>
            <w:hideMark/>
          </w:tcPr>
          <w:p w14:paraId="6AB2C284"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2 378 864</w:t>
            </w:r>
          </w:p>
        </w:tc>
      </w:tr>
      <w:tr w:rsidR="00F60576" w:rsidRPr="00CC3710" w14:paraId="0368437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4CBC3E31" w14:textId="77777777" w:rsidR="00F60576" w:rsidRPr="00CC3710" w:rsidRDefault="00F60576" w:rsidP="00745CD0">
            <w:pPr>
              <w:spacing w:after="0" w:line="240" w:lineRule="auto"/>
              <w:jc w:val="both"/>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 xml:space="preserve">   От други бюджети и сметки за средства от ЕС, в т.ч. от:</w:t>
            </w:r>
          </w:p>
        </w:tc>
        <w:tc>
          <w:tcPr>
            <w:tcW w:w="1134" w:type="dxa"/>
            <w:tcBorders>
              <w:top w:val="nil"/>
              <w:left w:val="nil"/>
              <w:bottom w:val="single" w:sz="4" w:space="0" w:color="auto"/>
              <w:right w:val="single" w:sz="4" w:space="0" w:color="auto"/>
            </w:tcBorders>
            <w:shd w:val="clear" w:color="auto" w:fill="auto"/>
            <w:noWrap/>
            <w:vAlign w:val="bottom"/>
            <w:hideMark/>
          </w:tcPr>
          <w:p w14:paraId="6CAABE3B" w14:textId="77777777" w:rsidR="00F60576" w:rsidRPr="00CC3710" w:rsidRDefault="00F60576" w:rsidP="00745CD0">
            <w:pPr>
              <w:spacing w:after="0" w:line="240" w:lineRule="auto"/>
              <w:ind w:right="67"/>
              <w:jc w:val="right"/>
              <w:rPr>
                <w:rFonts w:ascii="Times New Roman" w:eastAsia="Times New Roman" w:hAnsi="Times New Roman" w:cs="Times New Roman"/>
                <w:b/>
                <w:color w:val="000000" w:themeColor="text1"/>
                <w:lang w:val="en-US" w:eastAsia="bg-BG"/>
              </w:rPr>
            </w:pPr>
            <w:r w:rsidRPr="00CC3710">
              <w:rPr>
                <w:rFonts w:ascii="Times New Roman" w:eastAsia="Times New Roman" w:hAnsi="Times New Roman" w:cs="Times New Roman"/>
                <w:b/>
                <w:color w:val="000000" w:themeColor="text1"/>
                <w:lang w:val="en-US" w:eastAsia="bg-BG"/>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14:paraId="6D50D4DE" w14:textId="77777777" w:rsidR="00F60576" w:rsidRPr="00CC3710" w:rsidRDefault="00F60576" w:rsidP="00745CD0">
            <w:pPr>
              <w:spacing w:after="0" w:line="240" w:lineRule="auto"/>
              <w:ind w:right="73"/>
              <w:jc w:val="right"/>
              <w:rPr>
                <w:rFonts w:ascii="Times New Roman" w:eastAsia="Times New Roman" w:hAnsi="Times New Roman" w:cs="Times New Roman"/>
                <w:b/>
                <w:color w:val="000000" w:themeColor="text1"/>
                <w:lang w:val="en-US" w:eastAsia="bg-BG"/>
              </w:rPr>
            </w:pPr>
            <w:r w:rsidRPr="00CC3710">
              <w:rPr>
                <w:rFonts w:ascii="Times New Roman" w:eastAsia="Times New Roman" w:hAnsi="Times New Roman" w:cs="Times New Roman"/>
                <w:b/>
                <w:color w:val="000000" w:themeColor="text1"/>
                <w:lang w:eastAsia="bg-BG"/>
              </w:rPr>
              <w:t> </w:t>
            </w:r>
            <w:r w:rsidRPr="00CC3710">
              <w:rPr>
                <w:rFonts w:ascii="Times New Roman" w:eastAsia="Times New Roman" w:hAnsi="Times New Roman" w:cs="Times New Roman"/>
                <w:b/>
                <w:color w:val="000000" w:themeColor="text1"/>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5103372B" w14:textId="77777777" w:rsidR="00F60576" w:rsidRPr="00CC3710" w:rsidRDefault="00F60576" w:rsidP="00745CD0">
            <w:pPr>
              <w:spacing w:after="0" w:line="240" w:lineRule="auto"/>
              <w:ind w:right="80"/>
              <w:jc w:val="right"/>
              <w:rPr>
                <w:rFonts w:ascii="Times New Roman" w:eastAsia="Times New Roman" w:hAnsi="Times New Roman" w:cs="Times New Roman"/>
                <w:color w:val="000000" w:themeColor="text1"/>
                <w:lang w:val="en-US" w:eastAsia="bg-BG"/>
              </w:rPr>
            </w:pPr>
            <w:r w:rsidRPr="00CC3710">
              <w:rPr>
                <w:rFonts w:ascii="Times New Roman" w:eastAsia="Times New Roman" w:hAnsi="Times New Roman" w:cs="Times New Roman"/>
                <w:b/>
                <w:color w:val="000000" w:themeColor="text1"/>
                <w:lang w:eastAsia="bg-BG"/>
              </w:rPr>
              <w:t> </w:t>
            </w:r>
            <w:r w:rsidRPr="00CC3710">
              <w:rPr>
                <w:rFonts w:ascii="Times New Roman" w:eastAsia="Times New Roman" w:hAnsi="Times New Roman" w:cs="Times New Roman"/>
                <w:color w:val="000000" w:themeColor="text1"/>
                <w:lang w:eastAsia="bg-BG"/>
              </w:rPr>
              <w:t>14 880</w:t>
            </w:r>
          </w:p>
        </w:tc>
      </w:tr>
      <w:tr w:rsidR="00F60576" w:rsidRPr="00CC3710" w14:paraId="22DD6411" w14:textId="77777777" w:rsidTr="00745CD0">
        <w:trPr>
          <w:trHeight w:val="246"/>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F0F3B6" w14:textId="77777777" w:rsidR="00F60576" w:rsidRPr="00CC3710" w:rsidRDefault="00F60576" w:rsidP="00745CD0">
            <w:pPr>
              <w:spacing w:after="0" w:line="240" w:lineRule="auto"/>
              <w:ind w:firstLineChars="300" w:firstLine="660"/>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Централен бюджет, в т.ч.:</w:t>
            </w:r>
          </w:p>
        </w:tc>
        <w:tc>
          <w:tcPr>
            <w:tcW w:w="1134" w:type="dxa"/>
            <w:tcBorders>
              <w:top w:val="nil"/>
              <w:left w:val="nil"/>
              <w:bottom w:val="single" w:sz="4" w:space="0" w:color="auto"/>
              <w:right w:val="single" w:sz="4" w:space="0" w:color="auto"/>
            </w:tcBorders>
            <w:shd w:val="clear" w:color="auto" w:fill="auto"/>
            <w:noWrap/>
            <w:vAlign w:val="bottom"/>
            <w:hideMark/>
          </w:tcPr>
          <w:p w14:paraId="23C271E6"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 xml:space="preserve"> 0</w:t>
            </w:r>
            <w:r w:rsidRPr="00CC3710">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9843CB"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6DA846"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r>
      <w:tr w:rsidR="00F60576" w:rsidRPr="00CC3710" w14:paraId="1C5B6544" w14:textId="77777777" w:rsidTr="00745CD0">
        <w:trPr>
          <w:trHeight w:val="263"/>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254A38A" w14:textId="77777777" w:rsidR="00F60576" w:rsidRPr="00CC3710" w:rsidRDefault="00F60576" w:rsidP="00745CD0">
            <w:pPr>
              <w:spacing w:after="0" w:line="240" w:lineRule="auto"/>
              <w:ind w:firstLineChars="300" w:firstLine="660"/>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 xml:space="preserve">     Държавни инвестиционни заеми</w:t>
            </w:r>
          </w:p>
        </w:tc>
        <w:tc>
          <w:tcPr>
            <w:tcW w:w="1134" w:type="dxa"/>
            <w:tcBorders>
              <w:top w:val="nil"/>
              <w:left w:val="nil"/>
              <w:bottom w:val="single" w:sz="4" w:space="0" w:color="auto"/>
              <w:right w:val="single" w:sz="4" w:space="0" w:color="auto"/>
            </w:tcBorders>
            <w:shd w:val="clear" w:color="auto" w:fill="auto"/>
            <w:noWrap/>
            <w:vAlign w:val="bottom"/>
            <w:hideMark/>
          </w:tcPr>
          <w:p w14:paraId="2412A3ED"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2776D0"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0600D9"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r>
      <w:tr w:rsidR="00F60576" w:rsidRPr="00CC3710" w14:paraId="0DD133D8" w14:textId="77777777" w:rsidTr="00745CD0">
        <w:trPr>
          <w:trHeight w:val="26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948B2C6" w14:textId="77777777" w:rsidR="00F60576" w:rsidRPr="00CC3710" w:rsidRDefault="00F60576" w:rsidP="00745CD0">
            <w:pPr>
              <w:spacing w:after="0" w:line="240" w:lineRule="auto"/>
              <w:ind w:firstLineChars="300" w:firstLine="660"/>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Сметки за средства от ЕС (ССЕС на НФ и на ДФЗ)</w:t>
            </w:r>
          </w:p>
        </w:tc>
        <w:tc>
          <w:tcPr>
            <w:tcW w:w="1134" w:type="dxa"/>
            <w:tcBorders>
              <w:top w:val="nil"/>
              <w:left w:val="nil"/>
              <w:bottom w:val="single" w:sz="4" w:space="0" w:color="auto"/>
              <w:right w:val="single" w:sz="4" w:space="0" w:color="auto"/>
            </w:tcBorders>
            <w:shd w:val="clear" w:color="auto" w:fill="auto"/>
            <w:noWrap/>
            <w:vAlign w:val="bottom"/>
            <w:hideMark/>
          </w:tcPr>
          <w:p w14:paraId="74FF444C"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EC06E0"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1CD0B58A"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14 880 </w:t>
            </w:r>
          </w:p>
        </w:tc>
      </w:tr>
      <w:tr w:rsidR="00F60576" w:rsidRPr="00CC3710" w14:paraId="6B4BABE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DBEAE9A" w14:textId="77777777" w:rsidR="00F60576" w:rsidRPr="00CC3710" w:rsidRDefault="00F60576" w:rsidP="00745CD0">
            <w:pPr>
              <w:spacing w:after="0" w:line="240" w:lineRule="auto"/>
              <w:ind w:firstLineChars="300" w:firstLine="660"/>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Други програми и инициативи, по които Република България е страна-партньор</w:t>
            </w:r>
          </w:p>
        </w:tc>
        <w:tc>
          <w:tcPr>
            <w:tcW w:w="1134" w:type="dxa"/>
            <w:tcBorders>
              <w:top w:val="nil"/>
              <w:left w:val="nil"/>
              <w:bottom w:val="single" w:sz="4" w:space="0" w:color="auto"/>
              <w:right w:val="single" w:sz="4" w:space="0" w:color="auto"/>
            </w:tcBorders>
            <w:shd w:val="clear" w:color="auto" w:fill="auto"/>
            <w:noWrap/>
            <w:vAlign w:val="bottom"/>
            <w:hideMark/>
          </w:tcPr>
          <w:p w14:paraId="073D0837"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70D748"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FFD2ED"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r>
      <w:tr w:rsidR="00F60576" w:rsidRPr="00CC3710" w14:paraId="5752D86F" w14:textId="77777777" w:rsidTr="00745CD0">
        <w:trPr>
          <w:trHeight w:val="192"/>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0ECD01" w14:textId="77777777" w:rsidR="00F60576" w:rsidRPr="00CC3710" w:rsidRDefault="00F60576" w:rsidP="00745CD0">
            <w:pPr>
              <w:spacing w:after="0" w:line="240" w:lineRule="auto"/>
              <w:ind w:firstLineChars="300" w:firstLine="660"/>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Други програми и други донори по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3FDB8497"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7A7DE7"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3CFA15"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r>
      <w:tr w:rsidR="00F60576" w:rsidRPr="00CC3710" w14:paraId="2B924F66"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0460E3E" w14:textId="77777777" w:rsidR="00F60576" w:rsidRPr="00CC3710" w:rsidRDefault="00F60576" w:rsidP="00745CD0">
            <w:pPr>
              <w:spacing w:after="0" w:line="240" w:lineRule="auto"/>
              <w:ind w:firstLineChars="300" w:firstLine="660"/>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Други бюджетни организации, включени в консолидираната фискална програма</w:t>
            </w:r>
          </w:p>
        </w:tc>
        <w:tc>
          <w:tcPr>
            <w:tcW w:w="1134" w:type="dxa"/>
            <w:tcBorders>
              <w:top w:val="nil"/>
              <w:left w:val="nil"/>
              <w:bottom w:val="single" w:sz="4" w:space="0" w:color="auto"/>
              <w:right w:val="single" w:sz="4" w:space="0" w:color="auto"/>
            </w:tcBorders>
            <w:shd w:val="clear" w:color="auto" w:fill="auto"/>
            <w:noWrap/>
            <w:vAlign w:val="bottom"/>
            <w:hideMark/>
          </w:tcPr>
          <w:p w14:paraId="3A9D13ED"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val="en-US" w:eastAsia="bg-BG"/>
              </w:rPr>
            </w:pPr>
            <w:r w:rsidRPr="00CC3710">
              <w:rPr>
                <w:rFonts w:ascii="Times New Roman" w:eastAsia="Times New Roman" w:hAnsi="Times New Roman" w:cs="Times New Roman"/>
                <w:color w:val="000000" w:themeColor="text1"/>
                <w:lang w:eastAsia="bg-BG"/>
              </w:rPr>
              <w:t> </w:t>
            </w:r>
            <w:r w:rsidRPr="00CC3710">
              <w:rPr>
                <w:rFonts w:ascii="Times New Roman" w:eastAsia="Times New Roman" w:hAnsi="Times New Roman" w:cs="Times New Roman"/>
                <w:color w:val="000000" w:themeColor="text1"/>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371235CD"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0A6D6FC" w14:textId="77777777" w:rsidR="00F60576" w:rsidRPr="00CC3710" w:rsidRDefault="00F60576" w:rsidP="00745CD0">
            <w:pPr>
              <w:spacing w:after="0" w:line="240" w:lineRule="auto"/>
              <w:jc w:val="right"/>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val="en-US" w:eastAsia="bg-BG"/>
              </w:rPr>
              <w:t>0</w:t>
            </w:r>
            <w:r w:rsidRPr="00CC3710">
              <w:rPr>
                <w:rFonts w:ascii="Times New Roman" w:eastAsia="Times New Roman" w:hAnsi="Times New Roman" w:cs="Times New Roman"/>
                <w:color w:val="000000" w:themeColor="text1"/>
                <w:lang w:eastAsia="bg-BG"/>
              </w:rPr>
              <w:t> </w:t>
            </w:r>
          </w:p>
        </w:tc>
      </w:tr>
    </w:tbl>
    <w:p w14:paraId="2D244811" w14:textId="77777777" w:rsidR="00756023" w:rsidRPr="00CC3710" w:rsidRDefault="00756023" w:rsidP="002D6B8A">
      <w:pPr>
        <w:pStyle w:val="ListParagraph"/>
        <w:spacing w:line="276" w:lineRule="auto"/>
        <w:ind w:left="1069"/>
        <w:rPr>
          <w:b/>
          <w:bCs/>
          <w:i/>
          <w:color w:val="000000" w:themeColor="text1"/>
        </w:rPr>
      </w:pPr>
    </w:p>
    <w:p w14:paraId="3AF72B5A" w14:textId="77777777" w:rsidR="00C233D6" w:rsidRDefault="00C233D6" w:rsidP="006B2D3F">
      <w:pPr>
        <w:pStyle w:val="BodyText"/>
        <w:widowControl w:val="0"/>
        <w:spacing w:line="276" w:lineRule="auto"/>
        <w:ind w:left="567" w:hanging="567"/>
        <w:rPr>
          <w:b/>
          <w:sz w:val="24"/>
          <w:lang w:val="bg-BG"/>
        </w:rPr>
      </w:pPr>
    </w:p>
    <w:p w14:paraId="34BA1A50" w14:textId="56FCE88C" w:rsidR="00C233D6" w:rsidRPr="000F69DC" w:rsidRDefault="00AB3CB6" w:rsidP="000F69DC">
      <w:pPr>
        <w:pStyle w:val="BodyText"/>
        <w:widowControl w:val="0"/>
        <w:spacing w:line="276" w:lineRule="auto"/>
        <w:ind w:left="567" w:hanging="567"/>
        <w:rPr>
          <w:b/>
          <w:sz w:val="24"/>
          <w:lang w:val="bg-BG"/>
        </w:rPr>
      </w:pPr>
      <w:r w:rsidRPr="00AB3CB6">
        <w:rPr>
          <w:b/>
          <w:sz w:val="24"/>
          <w:lang w:val="bg-BG"/>
        </w:rPr>
        <w:t xml:space="preserve">III. ПРЕГЛЕД НА НАСТЪПИЛИТЕ ПРОМЕНИ В ОРГАНИЗАЦИОННАТА </w:t>
      </w:r>
      <w:r>
        <w:rPr>
          <w:b/>
          <w:sz w:val="24"/>
          <w:lang w:val="bg-BG"/>
        </w:rPr>
        <w:t xml:space="preserve"> </w:t>
      </w:r>
      <w:r w:rsidRPr="00AB3CB6">
        <w:rPr>
          <w:b/>
          <w:sz w:val="24"/>
          <w:lang w:val="bg-BG"/>
        </w:rPr>
        <w:t>СТРУКТУРА</w:t>
      </w:r>
    </w:p>
    <w:p w14:paraId="62903D49" w14:textId="6BDE5F31" w:rsidR="00AB3CB6" w:rsidRDefault="00AB3CB6" w:rsidP="006B2D3F">
      <w:pPr>
        <w:spacing w:after="0" w:line="276" w:lineRule="auto"/>
        <w:ind w:firstLine="709"/>
        <w:jc w:val="both"/>
        <w:rPr>
          <w:rFonts w:ascii="Times New Roman" w:hAnsi="Times New Roman" w:cs="Times New Roman"/>
          <w:sz w:val="24"/>
          <w:szCs w:val="24"/>
        </w:rPr>
      </w:pPr>
      <w:r w:rsidRPr="00AB3CB6">
        <w:rPr>
          <w:rFonts w:ascii="Times New Roman" w:hAnsi="Times New Roman" w:cs="Times New Roman"/>
          <w:sz w:val="24"/>
          <w:szCs w:val="24"/>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бр., като </w:t>
      </w:r>
      <w:r w:rsidR="00012B0D">
        <w:rPr>
          <w:rFonts w:ascii="Times New Roman" w:hAnsi="Times New Roman" w:cs="Times New Roman"/>
          <w:sz w:val="24"/>
          <w:szCs w:val="24"/>
        </w:rPr>
        <w:t xml:space="preserve">през </w:t>
      </w:r>
      <w:r w:rsidRPr="00AB3CB6">
        <w:rPr>
          <w:rFonts w:ascii="Times New Roman" w:hAnsi="Times New Roman" w:cs="Times New Roman"/>
          <w:sz w:val="24"/>
          <w:szCs w:val="24"/>
        </w:rPr>
        <w:t>отчетния период няма настъпили промени.</w:t>
      </w:r>
      <w:r>
        <w:rPr>
          <w:rFonts w:ascii="Times New Roman" w:hAnsi="Times New Roman" w:cs="Times New Roman"/>
          <w:sz w:val="24"/>
          <w:szCs w:val="24"/>
        </w:rPr>
        <w:t xml:space="preserve"> </w:t>
      </w:r>
    </w:p>
    <w:p w14:paraId="73690067" w14:textId="7D9F5986" w:rsidR="00403818" w:rsidRDefault="00403818" w:rsidP="006B2D3F">
      <w:pPr>
        <w:spacing w:after="0" w:line="276" w:lineRule="auto"/>
        <w:ind w:firstLine="709"/>
        <w:jc w:val="both"/>
        <w:rPr>
          <w:rFonts w:ascii="Times New Roman" w:hAnsi="Times New Roman" w:cs="Times New Roman"/>
          <w:sz w:val="24"/>
          <w:szCs w:val="24"/>
        </w:rPr>
      </w:pPr>
    </w:p>
    <w:p w14:paraId="672390AE" w14:textId="07D2F055" w:rsidR="002036C0" w:rsidRDefault="002036C0" w:rsidP="000F69DC">
      <w:pPr>
        <w:pStyle w:val="BodyText"/>
        <w:widowControl w:val="0"/>
        <w:spacing w:line="276" w:lineRule="auto"/>
        <w:ind w:left="567" w:hanging="567"/>
        <w:rPr>
          <w:b/>
          <w:sz w:val="24"/>
          <w:lang w:val="bg-BG"/>
        </w:rPr>
      </w:pPr>
      <w:r w:rsidRPr="002036C0">
        <w:rPr>
          <w:b/>
          <w:sz w:val="24"/>
          <w:lang w:val="bg-BG"/>
        </w:rPr>
        <w:t>IV. ПРЕГЛЕД НА НАСТЪПИЛИТЕ ПР</w:t>
      </w:r>
      <w:r w:rsidR="000F69DC">
        <w:rPr>
          <w:b/>
          <w:sz w:val="24"/>
          <w:lang w:val="bg-BG"/>
        </w:rPr>
        <w:t>ОМЕНИ НА ПОКАЗАТЕЛИТЕ ПО БЮДЖЕТ</w:t>
      </w:r>
    </w:p>
    <w:p w14:paraId="308BD328" w14:textId="30187A76" w:rsidR="0012599D" w:rsidRPr="00344ED6" w:rsidRDefault="0012599D" w:rsidP="00CC3710">
      <w:pPr>
        <w:tabs>
          <w:tab w:val="left" w:pos="567"/>
          <w:tab w:val="right" w:pos="709"/>
          <w:tab w:val="left" w:pos="1276"/>
        </w:tabs>
        <w:spacing w:after="0" w:line="276" w:lineRule="auto"/>
        <w:ind w:right="34"/>
        <w:jc w:val="both"/>
        <w:rPr>
          <w:rFonts w:ascii="Times New Roman" w:hAnsi="Times New Roman" w:cs="Times New Roman"/>
          <w:color w:val="000000" w:themeColor="text1"/>
          <w:sz w:val="24"/>
          <w:szCs w:val="24"/>
        </w:rPr>
      </w:pPr>
      <w:r w:rsidRPr="0077154E">
        <w:tab/>
      </w:r>
      <w:r w:rsidRPr="0077154E">
        <w:rPr>
          <w:rFonts w:ascii="Times New Roman" w:hAnsi="Times New Roman" w:cs="Times New Roman"/>
          <w:sz w:val="24"/>
          <w:szCs w:val="24"/>
        </w:rPr>
        <w:t>През отчетния период са извършени две промени по бюджета на Комисията за защита на конкуренцията за 2021 г., в резултат на които уточненият план на разходите по бюджета на КЗК е в размер на 5 745 000 лева, макси</w:t>
      </w:r>
      <w:r w:rsidRPr="00344ED6">
        <w:rPr>
          <w:rFonts w:ascii="Times New Roman" w:hAnsi="Times New Roman" w:cs="Times New Roman"/>
          <w:color w:val="000000" w:themeColor="text1"/>
          <w:sz w:val="24"/>
          <w:szCs w:val="24"/>
        </w:rPr>
        <w:t>малният размер на ангажиментите за разходи, които могат да бъдат поети през 2021 г. става 1 160 000 лв., а на новите задължения за разходи, които могат да бъдат натрупани през 2021 г.</w:t>
      </w:r>
      <w:r w:rsidR="00CC3710" w:rsidRPr="00344ED6">
        <w:rPr>
          <w:rFonts w:ascii="Times New Roman" w:hAnsi="Times New Roman" w:cs="Times New Roman"/>
          <w:color w:val="000000" w:themeColor="text1"/>
          <w:sz w:val="24"/>
          <w:szCs w:val="24"/>
        </w:rPr>
        <w:t xml:space="preserve">   </w:t>
      </w:r>
      <w:r w:rsidRPr="00344ED6">
        <w:rPr>
          <w:rFonts w:ascii="Times New Roman" w:hAnsi="Times New Roman" w:cs="Times New Roman"/>
          <w:color w:val="000000" w:themeColor="text1"/>
          <w:sz w:val="24"/>
          <w:szCs w:val="24"/>
        </w:rPr>
        <w:t xml:space="preserve"> –  848</w:t>
      </w:r>
      <w:r w:rsidR="00CC3710" w:rsidRPr="00344ED6">
        <w:rPr>
          <w:rFonts w:ascii="Times New Roman" w:hAnsi="Times New Roman" w:cs="Times New Roman"/>
          <w:color w:val="000000" w:themeColor="text1"/>
          <w:sz w:val="24"/>
          <w:szCs w:val="24"/>
        </w:rPr>
        <w:t xml:space="preserve"> </w:t>
      </w:r>
      <w:r w:rsidRPr="00344ED6">
        <w:rPr>
          <w:rFonts w:ascii="Times New Roman" w:hAnsi="Times New Roman" w:cs="Times New Roman"/>
          <w:color w:val="000000" w:themeColor="text1"/>
          <w:sz w:val="24"/>
          <w:szCs w:val="24"/>
        </w:rPr>
        <w:t>100 лв.</w:t>
      </w:r>
    </w:p>
    <w:p w14:paraId="538D7B30" w14:textId="5CD0F021" w:rsidR="00403818" w:rsidRPr="00344ED6" w:rsidRDefault="00403818" w:rsidP="00403818">
      <w:pPr>
        <w:rPr>
          <w:rFonts w:ascii="Times New Roman" w:eastAsia="Times New Roman" w:hAnsi="Times New Roman" w:cs="Times New Roman"/>
          <w:color w:val="000000" w:themeColor="text1"/>
          <w:sz w:val="24"/>
          <w:szCs w:val="24"/>
        </w:rPr>
        <w:sectPr w:rsidR="00403818" w:rsidRPr="00344ED6" w:rsidSect="00070E4E">
          <w:pgSz w:w="11906" w:h="16838"/>
          <w:pgMar w:top="1134" w:right="1418" w:bottom="1418" w:left="1418" w:header="709" w:footer="709" w:gutter="0"/>
          <w:cols w:space="708"/>
          <w:docGrid w:linePitch="360"/>
        </w:sectPr>
      </w:pPr>
    </w:p>
    <w:p w14:paraId="75970693" w14:textId="035E4BC5" w:rsidR="002B65B3" w:rsidRPr="00344ED6" w:rsidRDefault="002B65B3" w:rsidP="00403818">
      <w:pPr>
        <w:spacing w:after="0" w:line="276" w:lineRule="auto"/>
        <w:jc w:val="both"/>
        <w:rPr>
          <w:rFonts w:ascii="Times New Roman" w:eastAsia="Times New Roman" w:hAnsi="Times New Roman" w:cs="Times New Roman"/>
          <w:color w:val="000000" w:themeColor="text1"/>
          <w:sz w:val="24"/>
          <w:szCs w:val="24"/>
        </w:rPr>
      </w:pPr>
    </w:p>
    <w:p w14:paraId="659902EA" w14:textId="3905F0EE" w:rsidR="00403818" w:rsidRPr="00344ED6" w:rsidRDefault="00403818" w:rsidP="00403818">
      <w:pPr>
        <w:spacing w:line="276" w:lineRule="auto"/>
        <w:jc w:val="both"/>
        <w:rPr>
          <w:rFonts w:ascii="Times New Roman" w:eastAsia="Times New Roman" w:hAnsi="Times New Roman" w:cs="Times New Roman"/>
          <w:color w:val="000000" w:themeColor="text1"/>
          <w:lang w:eastAsia="bg-BG"/>
        </w:rPr>
      </w:pPr>
      <w:r w:rsidRPr="00344ED6">
        <w:rPr>
          <w:rFonts w:ascii="Times New Roman" w:eastAsia="Times New Roman" w:hAnsi="Times New Roman" w:cs="Times New Roman"/>
          <w:b/>
          <w:i/>
          <w:color w:val="000000" w:themeColor="text1"/>
          <w:lang w:eastAsia="bg-BG"/>
        </w:rPr>
        <w:t>Приложение № 4</w:t>
      </w:r>
      <w:r w:rsidRPr="00344ED6">
        <w:rPr>
          <w:rFonts w:ascii="Times New Roman" w:eastAsia="Times New Roman" w:hAnsi="Times New Roman" w:cs="Times New Roman"/>
          <w:color w:val="000000" w:themeColor="text1"/>
          <w:lang w:eastAsia="bg-BG"/>
        </w:rPr>
        <w:t xml:space="preserve"> – Преглед на настъпилите през отчетния период промени на </w:t>
      </w:r>
      <w:r w:rsidRPr="00344ED6">
        <w:rPr>
          <w:rFonts w:ascii="Times New Roman" w:eastAsia="Times New Roman" w:hAnsi="Times New Roman" w:cs="Times New Roman"/>
          <w:color w:val="000000" w:themeColor="text1"/>
          <w:lang w:val="en-US" w:eastAsia="bg-BG"/>
        </w:rPr>
        <w:t xml:space="preserve"> </w:t>
      </w:r>
      <w:r w:rsidRPr="00344ED6">
        <w:rPr>
          <w:rFonts w:ascii="Times New Roman" w:eastAsia="Times New Roman" w:hAnsi="Times New Roman" w:cs="Times New Roman"/>
          <w:color w:val="000000" w:themeColor="text1"/>
          <w:lang w:eastAsia="bg-BG"/>
        </w:rPr>
        <w:t>показателите по бюджета</w:t>
      </w:r>
    </w:p>
    <w:tbl>
      <w:tblPr>
        <w:tblW w:w="14255" w:type="dxa"/>
        <w:tblInd w:w="-10" w:type="dxa"/>
        <w:tblCellMar>
          <w:left w:w="70" w:type="dxa"/>
          <w:right w:w="70" w:type="dxa"/>
        </w:tblCellMar>
        <w:tblLook w:val="04A0" w:firstRow="1" w:lastRow="0" w:firstColumn="1" w:lastColumn="0" w:noHBand="0" w:noVBand="1"/>
      </w:tblPr>
      <w:tblGrid>
        <w:gridCol w:w="647"/>
        <w:gridCol w:w="2268"/>
        <w:gridCol w:w="1418"/>
        <w:gridCol w:w="2551"/>
        <w:gridCol w:w="1985"/>
        <w:gridCol w:w="3969"/>
        <w:gridCol w:w="1417"/>
      </w:tblGrid>
      <w:tr w:rsidR="00F60576" w:rsidRPr="00344ED6" w14:paraId="6DCDB2E0" w14:textId="77777777" w:rsidTr="00F60576">
        <w:trPr>
          <w:trHeight w:val="1207"/>
        </w:trPr>
        <w:tc>
          <w:tcPr>
            <w:tcW w:w="647"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0173E59"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 по ред</w:t>
            </w:r>
          </w:p>
        </w:tc>
        <w:tc>
          <w:tcPr>
            <w:tcW w:w="2268" w:type="dxa"/>
            <w:tcBorders>
              <w:top w:val="single" w:sz="8" w:space="0" w:color="auto"/>
              <w:left w:val="nil"/>
              <w:bottom w:val="single" w:sz="8" w:space="0" w:color="auto"/>
              <w:right w:val="single" w:sz="8" w:space="0" w:color="auto"/>
            </w:tcBorders>
            <w:shd w:val="clear" w:color="000000" w:fill="D9D9D9"/>
            <w:vAlign w:val="center"/>
            <w:hideMark/>
          </w:tcPr>
          <w:p w14:paraId="36BFA6D0"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Наименование на акта</w:t>
            </w:r>
          </w:p>
        </w:tc>
        <w:tc>
          <w:tcPr>
            <w:tcW w:w="1418" w:type="dxa"/>
            <w:tcBorders>
              <w:top w:val="single" w:sz="8" w:space="0" w:color="auto"/>
              <w:left w:val="nil"/>
              <w:bottom w:val="single" w:sz="8" w:space="0" w:color="auto"/>
              <w:right w:val="single" w:sz="8" w:space="0" w:color="auto"/>
            </w:tcBorders>
            <w:shd w:val="clear" w:color="000000" w:fill="D9D9D9"/>
            <w:vAlign w:val="center"/>
            <w:hideMark/>
          </w:tcPr>
          <w:p w14:paraId="716F422A"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Нормативно основание</w:t>
            </w:r>
          </w:p>
        </w:tc>
        <w:tc>
          <w:tcPr>
            <w:tcW w:w="2551" w:type="dxa"/>
            <w:tcBorders>
              <w:top w:val="single" w:sz="8" w:space="0" w:color="auto"/>
              <w:left w:val="nil"/>
              <w:bottom w:val="single" w:sz="8" w:space="0" w:color="auto"/>
              <w:right w:val="single" w:sz="8" w:space="0" w:color="auto"/>
            </w:tcBorders>
            <w:shd w:val="clear" w:color="000000" w:fill="D9D9D9"/>
            <w:vAlign w:val="center"/>
            <w:hideMark/>
          </w:tcPr>
          <w:p w14:paraId="544A45D5"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Мотиви</w:t>
            </w:r>
          </w:p>
        </w:tc>
        <w:tc>
          <w:tcPr>
            <w:tcW w:w="1985" w:type="dxa"/>
            <w:tcBorders>
              <w:top w:val="single" w:sz="8" w:space="0" w:color="auto"/>
              <w:left w:val="nil"/>
              <w:bottom w:val="single" w:sz="8" w:space="0" w:color="auto"/>
              <w:right w:val="single" w:sz="8" w:space="0" w:color="auto"/>
            </w:tcBorders>
            <w:shd w:val="clear" w:color="000000" w:fill="D9D9D9"/>
            <w:vAlign w:val="center"/>
            <w:hideMark/>
          </w:tcPr>
          <w:p w14:paraId="4065F0E5"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Наименование на бюджетните програми</w:t>
            </w:r>
          </w:p>
        </w:tc>
        <w:tc>
          <w:tcPr>
            <w:tcW w:w="3969" w:type="dxa"/>
            <w:tcBorders>
              <w:top w:val="single" w:sz="8" w:space="0" w:color="auto"/>
              <w:left w:val="nil"/>
              <w:bottom w:val="single" w:sz="8" w:space="0" w:color="auto"/>
              <w:right w:val="single" w:sz="8" w:space="0" w:color="auto"/>
            </w:tcBorders>
            <w:shd w:val="clear" w:color="000000" w:fill="D9D9D9"/>
            <w:vAlign w:val="center"/>
            <w:hideMark/>
          </w:tcPr>
          <w:p w14:paraId="21D745FA"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Ефект върху бюджета (увеличение / намаление на разходите по програми)</w:t>
            </w:r>
          </w:p>
        </w:tc>
        <w:tc>
          <w:tcPr>
            <w:tcW w:w="1417" w:type="dxa"/>
            <w:tcBorders>
              <w:top w:val="single" w:sz="8" w:space="0" w:color="auto"/>
              <w:left w:val="nil"/>
              <w:bottom w:val="single" w:sz="8" w:space="0" w:color="auto"/>
              <w:right w:val="single" w:sz="8" w:space="0" w:color="auto"/>
            </w:tcBorders>
            <w:shd w:val="clear" w:color="000000" w:fill="D9D9D9"/>
            <w:vAlign w:val="center"/>
            <w:hideMark/>
          </w:tcPr>
          <w:p w14:paraId="5AA457EB"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Влияние върху показателите за изпълнение</w:t>
            </w:r>
          </w:p>
        </w:tc>
      </w:tr>
      <w:tr w:rsidR="00F60576" w:rsidRPr="00344ED6" w14:paraId="7602FD64" w14:textId="77777777" w:rsidTr="00F60576">
        <w:trPr>
          <w:trHeight w:val="4590"/>
        </w:trPr>
        <w:tc>
          <w:tcPr>
            <w:tcW w:w="647" w:type="dxa"/>
            <w:tcBorders>
              <w:top w:val="nil"/>
              <w:left w:val="single" w:sz="8" w:space="0" w:color="auto"/>
              <w:bottom w:val="single" w:sz="4" w:space="0" w:color="auto"/>
              <w:right w:val="single" w:sz="8" w:space="0" w:color="auto"/>
            </w:tcBorders>
            <w:shd w:val="clear" w:color="auto" w:fill="auto"/>
            <w:vAlign w:val="center"/>
            <w:hideMark/>
          </w:tcPr>
          <w:p w14:paraId="075439C8"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1.</w:t>
            </w:r>
          </w:p>
        </w:tc>
        <w:tc>
          <w:tcPr>
            <w:tcW w:w="2268" w:type="dxa"/>
            <w:tcBorders>
              <w:top w:val="nil"/>
              <w:left w:val="nil"/>
              <w:bottom w:val="single" w:sz="4" w:space="0" w:color="auto"/>
              <w:right w:val="single" w:sz="8" w:space="0" w:color="auto"/>
            </w:tcBorders>
            <w:shd w:val="clear" w:color="auto" w:fill="auto"/>
            <w:vAlign w:val="center"/>
            <w:hideMark/>
          </w:tcPr>
          <w:p w14:paraId="4539719E"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Постановление № 113 от 29.03.2021 г. на Министерски съвет и чл. 106, ал. 2 и ал. 3 от Закона за държавния бюджет на Република България за 2021 г..; уведомително писмо изх. № ИЗР- 380/ 01.04.2021 г. до министъра на финансите на основание чл. 109, ал. 5 от ЗПФ за извършената промяна по бюджета на КЗК; заповед №  ЗПО-48/30.03.2021 г. на председателя на КЗК за корекция на утвърдения бюджет</w:t>
            </w:r>
          </w:p>
          <w:p w14:paraId="47C88A92"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7378EA83"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00C99DE1"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51BA5EA2"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tc>
        <w:tc>
          <w:tcPr>
            <w:tcW w:w="1418" w:type="dxa"/>
            <w:tcBorders>
              <w:top w:val="nil"/>
              <w:left w:val="nil"/>
              <w:bottom w:val="single" w:sz="4" w:space="0" w:color="auto"/>
              <w:right w:val="single" w:sz="8" w:space="0" w:color="auto"/>
            </w:tcBorders>
            <w:shd w:val="clear" w:color="auto" w:fill="auto"/>
            <w:vAlign w:val="center"/>
            <w:hideMark/>
          </w:tcPr>
          <w:p w14:paraId="75CD58E5"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Чл. 109, ал.5 от ЗПФ</w:t>
            </w:r>
          </w:p>
          <w:p w14:paraId="61D85202"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42CF0AA4"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1BD80F58"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4AD16DAC"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5F693CFE"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355D07C"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E2C1AAF"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2D088C29"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3BF5B99E"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5CDEA921"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50B42CF"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7C0EE7A5"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2D9AD16"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53D2007B"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3A694035"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72D0FCB4"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567B8238"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5B3F8FDC"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307ECBE1"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tc>
        <w:tc>
          <w:tcPr>
            <w:tcW w:w="2551" w:type="dxa"/>
            <w:tcBorders>
              <w:top w:val="nil"/>
              <w:left w:val="nil"/>
              <w:bottom w:val="single" w:sz="4" w:space="0" w:color="auto"/>
              <w:right w:val="single" w:sz="8" w:space="0" w:color="auto"/>
            </w:tcBorders>
            <w:shd w:val="clear" w:color="auto" w:fill="auto"/>
            <w:hideMark/>
          </w:tcPr>
          <w:p w14:paraId="0B60523B"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 xml:space="preserve">Извършен трансфер към централния бюджет във връзка с одобряване на допълнителни разходи и трансфери по бюджета на Министерство на здравеопазването за 2021 г. за сметка на  разходи и/или трансфери по бюджетите на  първостепенните разпоредители с бюджет. </w:t>
            </w:r>
          </w:p>
        </w:tc>
        <w:tc>
          <w:tcPr>
            <w:tcW w:w="1985" w:type="dxa"/>
            <w:tcBorders>
              <w:top w:val="nil"/>
              <w:left w:val="nil"/>
              <w:bottom w:val="single" w:sz="4" w:space="0" w:color="auto"/>
              <w:right w:val="single" w:sz="8" w:space="0" w:color="auto"/>
            </w:tcBorders>
            <w:shd w:val="clear" w:color="auto" w:fill="auto"/>
            <w:hideMark/>
          </w:tcPr>
          <w:p w14:paraId="093F4C99"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3969" w:type="dxa"/>
            <w:tcBorders>
              <w:top w:val="nil"/>
              <w:left w:val="nil"/>
              <w:bottom w:val="single" w:sz="4" w:space="0" w:color="auto"/>
              <w:right w:val="single" w:sz="8" w:space="0" w:color="auto"/>
            </w:tcBorders>
            <w:shd w:val="clear" w:color="auto" w:fill="auto"/>
            <w:hideMark/>
          </w:tcPr>
          <w:p w14:paraId="5C6A2EAC"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 xml:space="preserve">Капиталови разходи, показател Придобиване на дълготрайни активи и основен ремонт“  “  (–) 48 500 лв.          Трансфери между бюджетната организация и ЦБ (нето) + 48 500 лв.       Максимални размери на ангажиментите за разходи, които могат да бъдат поети през 2021 г. (–) 48 500 лв.  Максимални размери на новите задължения за разходи, които могат да бъдат натрупани през 2021 г.  (–) 48 500 лв. </w:t>
            </w:r>
          </w:p>
        </w:tc>
        <w:tc>
          <w:tcPr>
            <w:tcW w:w="1417" w:type="dxa"/>
            <w:tcBorders>
              <w:top w:val="nil"/>
              <w:left w:val="nil"/>
              <w:bottom w:val="single" w:sz="4" w:space="0" w:color="auto"/>
              <w:right w:val="single" w:sz="8" w:space="0" w:color="auto"/>
            </w:tcBorders>
            <w:shd w:val="clear" w:color="auto" w:fill="auto"/>
            <w:vAlign w:val="center"/>
            <w:hideMark/>
          </w:tcPr>
          <w:p w14:paraId="708D52F3"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Не оказва</w:t>
            </w:r>
          </w:p>
          <w:p w14:paraId="78B425A4"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3214FE0A"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A628A0A"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1569B9D"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529CCB26"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42A46F8"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44F193F3"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02C5B4C9"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75B53EE2"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453A6954"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CE7846B"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08CFF2F6"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2CA88509"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5804708D"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3D5EB999"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tc>
      </w:tr>
      <w:tr w:rsidR="00F60576" w:rsidRPr="00344ED6" w14:paraId="5C386A7C" w14:textId="77777777" w:rsidTr="00F60576">
        <w:trPr>
          <w:trHeight w:val="3946"/>
        </w:trPr>
        <w:tc>
          <w:tcPr>
            <w:tcW w:w="64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BBFEB39"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lastRenderedPageBreak/>
              <w:t>2.</w:t>
            </w:r>
          </w:p>
        </w:tc>
        <w:tc>
          <w:tcPr>
            <w:tcW w:w="2268" w:type="dxa"/>
            <w:tcBorders>
              <w:top w:val="single" w:sz="4" w:space="0" w:color="auto"/>
              <w:left w:val="nil"/>
              <w:bottom w:val="single" w:sz="8" w:space="0" w:color="auto"/>
              <w:right w:val="single" w:sz="8" w:space="0" w:color="auto"/>
            </w:tcBorders>
            <w:shd w:val="clear" w:color="auto" w:fill="auto"/>
            <w:vAlign w:val="center"/>
            <w:hideMark/>
          </w:tcPr>
          <w:p w14:paraId="3CAFDA53" w14:textId="5AEC8845"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Постановление № 177 от 29.04.2021 г. на Министерски съвет и чл. 106, ал. 2 и ал. 3 от Закона за д</w:t>
            </w:r>
            <w:r w:rsidR="00344ED6" w:rsidRPr="00344ED6">
              <w:rPr>
                <w:rFonts w:ascii="Times New Roman" w:eastAsia="Times New Roman" w:hAnsi="Times New Roman" w:cs="Times New Roman"/>
                <w:color w:val="000000" w:themeColor="text1"/>
                <w:sz w:val="20"/>
                <w:szCs w:val="20"/>
                <w:lang w:eastAsia="bg-BG"/>
              </w:rPr>
              <w:t>ъ</w:t>
            </w:r>
            <w:r w:rsidRPr="00344ED6">
              <w:rPr>
                <w:rFonts w:ascii="Times New Roman" w:eastAsia="Times New Roman" w:hAnsi="Times New Roman" w:cs="Times New Roman"/>
                <w:color w:val="000000" w:themeColor="text1"/>
                <w:sz w:val="20"/>
                <w:szCs w:val="20"/>
                <w:lang w:eastAsia="bg-BG"/>
              </w:rPr>
              <w:t>ржавния бюджет на Република България за 2021 г..; уведомително писмо изх. № ИЗР- 559/13.05.2021 г. до министъра на финансите на основание чл. 109, ал. 5 от ЗПФ за извършената промяна по бюджета на КЗК; заповед №  ЗПО-63/17.05.2021 г. на председателя на КЗК за корекция на утвърдения бюджет</w:t>
            </w:r>
          </w:p>
          <w:p w14:paraId="41577C4B"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5448106D"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BAB14DD"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tc>
        <w:tc>
          <w:tcPr>
            <w:tcW w:w="1418" w:type="dxa"/>
            <w:tcBorders>
              <w:top w:val="single" w:sz="4" w:space="0" w:color="auto"/>
              <w:left w:val="nil"/>
              <w:bottom w:val="single" w:sz="8" w:space="0" w:color="auto"/>
              <w:right w:val="single" w:sz="8" w:space="0" w:color="auto"/>
            </w:tcBorders>
            <w:shd w:val="clear" w:color="auto" w:fill="auto"/>
            <w:vAlign w:val="center"/>
            <w:hideMark/>
          </w:tcPr>
          <w:p w14:paraId="1D4C5860"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Чл. 109, ал.5 от ЗПФ</w:t>
            </w:r>
          </w:p>
          <w:p w14:paraId="14E7188B"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00A552C8"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16584AB"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0E9F6EF0"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156FB1D3"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7905ADD0"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9E9ED4F"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4E41ED81"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524146BA"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2D4337BF"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06BE5CA1"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4FF42F7B"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5CE54DA"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379A20DD"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2EEB86D1"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1C9FD32C"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3A751142"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3823D563"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tc>
        <w:tc>
          <w:tcPr>
            <w:tcW w:w="2551" w:type="dxa"/>
            <w:tcBorders>
              <w:top w:val="single" w:sz="4" w:space="0" w:color="auto"/>
              <w:left w:val="nil"/>
              <w:bottom w:val="single" w:sz="8" w:space="0" w:color="auto"/>
              <w:right w:val="single" w:sz="8" w:space="0" w:color="auto"/>
            </w:tcBorders>
            <w:shd w:val="clear" w:color="auto" w:fill="auto"/>
            <w:hideMark/>
          </w:tcPr>
          <w:p w14:paraId="51BE0A96"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 xml:space="preserve">Извършен трансфер към централния бюджет във връзка с одобряване на допълнителни разходи и трансфери по бюджета на Министерство на здравеопазването за 2021 г. за сметка на  разходи и/или трансфери по бюджетите на  първостепенните разпоредители с бюджет. </w:t>
            </w:r>
          </w:p>
        </w:tc>
        <w:tc>
          <w:tcPr>
            <w:tcW w:w="1985" w:type="dxa"/>
            <w:tcBorders>
              <w:top w:val="single" w:sz="4" w:space="0" w:color="auto"/>
              <w:left w:val="nil"/>
              <w:bottom w:val="single" w:sz="8" w:space="0" w:color="auto"/>
              <w:right w:val="single" w:sz="8" w:space="0" w:color="auto"/>
            </w:tcBorders>
            <w:shd w:val="clear" w:color="auto" w:fill="auto"/>
            <w:hideMark/>
          </w:tcPr>
          <w:p w14:paraId="02A8EB3F"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3969" w:type="dxa"/>
            <w:tcBorders>
              <w:top w:val="single" w:sz="4" w:space="0" w:color="auto"/>
              <w:left w:val="nil"/>
              <w:bottom w:val="single" w:sz="8" w:space="0" w:color="auto"/>
              <w:right w:val="single" w:sz="8" w:space="0" w:color="auto"/>
            </w:tcBorders>
            <w:shd w:val="clear" w:color="auto" w:fill="auto"/>
            <w:hideMark/>
          </w:tcPr>
          <w:p w14:paraId="25557FB1"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 xml:space="preserve">Капиталови разходи, показател Придобиване на дълготрайни активи и основен ремонт“  “  (–) 41 900 лв.          Трансфери между бюджетната организация и ЦБ (нето) + 41 900 лв.       Максимални размери на новите задължения за разходи, които могат да бъдат натрупани през 2021 г.  (–) 41 900 лв. </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14:paraId="5C107ECB"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r w:rsidRPr="00344ED6">
              <w:rPr>
                <w:rFonts w:ascii="Times New Roman" w:eastAsia="Times New Roman" w:hAnsi="Times New Roman" w:cs="Times New Roman"/>
                <w:color w:val="000000" w:themeColor="text1"/>
                <w:sz w:val="20"/>
                <w:szCs w:val="20"/>
                <w:lang w:eastAsia="bg-BG"/>
              </w:rPr>
              <w:t>Не оказва</w:t>
            </w:r>
          </w:p>
          <w:p w14:paraId="7FDD2C40"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2F792C7"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4EC6BC20"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392BFDAE"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p w14:paraId="67AFBED2" w14:textId="77777777" w:rsidR="00F60576" w:rsidRPr="00344ED6" w:rsidRDefault="00F60576" w:rsidP="00745CD0">
            <w:pPr>
              <w:spacing w:after="0" w:line="240" w:lineRule="auto"/>
              <w:rPr>
                <w:rFonts w:ascii="Times New Roman" w:eastAsia="Times New Roman" w:hAnsi="Times New Roman" w:cs="Times New Roman"/>
                <w:color w:val="000000" w:themeColor="text1"/>
                <w:sz w:val="20"/>
                <w:szCs w:val="20"/>
                <w:lang w:eastAsia="bg-BG"/>
              </w:rPr>
            </w:pPr>
          </w:p>
        </w:tc>
      </w:tr>
    </w:tbl>
    <w:p w14:paraId="33F8AC49" w14:textId="58346470" w:rsidR="00F60576" w:rsidRPr="00344ED6" w:rsidRDefault="00F60576" w:rsidP="00403818">
      <w:pPr>
        <w:spacing w:line="276" w:lineRule="auto"/>
        <w:jc w:val="both"/>
        <w:rPr>
          <w:rFonts w:ascii="Times New Roman" w:eastAsia="Times New Roman" w:hAnsi="Times New Roman" w:cs="Times New Roman"/>
          <w:color w:val="000000" w:themeColor="text1"/>
          <w:lang w:eastAsia="bg-BG"/>
        </w:rPr>
      </w:pPr>
    </w:p>
    <w:p w14:paraId="6CFDF10E" w14:textId="77777777" w:rsidR="00F60576" w:rsidRPr="00344ED6" w:rsidRDefault="00F60576" w:rsidP="00403818">
      <w:pPr>
        <w:spacing w:line="276" w:lineRule="auto"/>
        <w:jc w:val="both"/>
        <w:rPr>
          <w:b/>
          <w:bCs/>
          <w:i/>
          <w:color w:val="000000" w:themeColor="text1"/>
        </w:rPr>
      </w:pPr>
    </w:p>
    <w:p w14:paraId="631E42E5" w14:textId="5D87FF81" w:rsidR="00403818" w:rsidRDefault="00403818" w:rsidP="00403818">
      <w:pPr>
        <w:spacing w:after="0" w:line="276" w:lineRule="auto"/>
        <w:jc w:val="both"/>
        <w:rPr>
          <w:rFonts w:ascii="Times New Roman" w:eastAsia="Times New Roman" w:hAnsi="Times New Roman" w:cs="Times New Roman"/>
          <w:sz w:val="24"/>
          <w:szCs w:val="24"/>
        </w:rPr>
        <w:sectPr w:rsidR="00403818" w:rsidSect="007C44A5">
          <w:pgSz w:w="16838" w:h="11906" w:orient="landscape"/>
          <w:pgMar w:top="1276" w:right="1134" w:bottom="1418" w:left="1418" w:header="709" w:footer="709" w:gutter="0"/>
          <w:cols w:space="708"/>
          <w:docGrid w:linePitch="360"/>
        </w:sectPr>
      </w:pPr>
    </w:p>
    <w:p w14:paraId="4D27F4CD" w14:textId="4BEA2031" w:rsidR="00403818" w:rsidRDefault="00403818" w:rsidP="00403818">
      <w:pPr>
        <w:pStyle w:val="BodyText"/>
        <w:widowControl w:val="0"/>
        <w:spacing w:line="276" w:lineRule="auto"/>
        <w:ind w:left="709" w:hanging="709"/>
        <w:rPr>
          <w:b/>
          <w:sz w:val="24"/>
          <w:lang w:val="bg-BG"/>
        </w:rPr>
      </w:pPr>
      <w:r>
        <w:rPr>
          <w:b/>
          <w:sz w:val="24"/>
        </w:rPr>
        <w:lastRenderedPageBreak/>
        <w:t xml:space="preserve">V. </w:t>
      </w:r>
      <w:r w:rsidRPr="00576E21">
        <w:rPr>
          <w:b/>
          <w:sz w:val="24"/>
          <w:lang w:val="bg-BG"/>
        </w:rPr>
        <w:t>ПРЕГЛЕД НА 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p w14:paraId="10E73591" w14:textId="77777777" w:rsidR="00403818" w:rsidRPr="00C03988" w:rsidRDefault="00403818" w:rsidP="00403818">
      <w:pPr>
        <w:spacing w:after="0" w:line="276" w:lineRule="auto"/>
        <w:ind w:firstLine="709"/>
        <w:jc w:val="both"/>
        <w:rPr>
          <w:rFonts w:ascii="Times New Roman" w:hAnsi="Times New Roman" w:cs="Times New Roman"/>
          <w:sz w:val="24"/>
          <w:szCs w:val="24"/>
        </w:rPr>
      </w:pPr>
      <w:r w:rsidRPr="00C03988">
        <w:rPr>
          <w:rFonts w:ascii="Times New Roman" w:hAnsi="Times New Roman" w:cs="Times New Roman"/>
          <w:sz w:val="24"/>
          <w:szCs w:val="24"/>
        </w:rPr>
        <w:t>Комисия за защита на конкуренцията осъществява дейност в областта на защитата на конкуренцията и контрола на законосъобразността при процедурите по възлагане на обществени поръчки и предоставяне на  концесии. В изпълнение на своята дейност, през отчетния период КЗК съблюдаваше за стриктното спазване на Закона за защита на конкуренцията, Закона за обществените поръчки</w:t>
      </w:r>
      <w:r>
        <w:rPr>
          <w:rFonts w:ascii="Times New Roman" w:hAnsi="Times New Roman" w:cs="Times New Roman"/>
          <w:sz w:val="24"/>
          <w:szCs w:val="24"/>
        </w:rPr>
        <w:t xml:space="preserve"> (ЗОП)</w:t>
      </w:r>
      <w:r w:rsidRPr="00C03988">
        <w:rPr>
          <w:rFonts w:ascii="Times New Roman" w:hAnsi="Times New Roman" w:cs="Times New Roman"/>
          <w:sz w:val="24"/>
          <w:szCs w:val="24"/>
        </w:rPr>
        <w:t>, Закона за концесиите</w:t>
      </w:r>
      <w:r>
        <w:rPr>
          <w:rFonts w:ascii="Times New Roman" w:hAnsi="Times New Roman" w:cs="Times New Roman"/>
          <w:sz w:val="24"/>
          <w:szCs w:val="24"/>
        </w:rPr>
        <w:t xml:space="preserve"> (ЗК)</w:t>
      </w:r>
      <w:r w:rsidRPr="00C03988">
        <w:rPr>
          <w:rFonts w:ascii="Times New Roman" w:hAnsi="Times New Roman" w:cs="Times New Roman"/>
          <w:sz w:val="24"/>
          <w:szCs w:val="24"/>
        </w:rPr>
        <w:t xml:space="preserve"> и отговаряше за прилагането на Общностното право в областта на конкуренцията.</w:t>
      </w:r>
      <w:r w:rsidRPr="00C03988">
        <w:rPr>
          <w:rFonts w:ascii="Times New Roman" w:hAnsi="Times New Roman" w:cs="Times New Roman"/>
          <w:sz w:val="24"/>
          <w:szCs w:val="24"/>
          <w:lang w:val="en-US"/>
        </w:rPr>
        <w:t xml:space="preserve"> </w:t>
      </w:r>
      <w:r w:rsidRPr="00C03988">
        <w:rPr>
          <w:rFonts w:ascii="Times New Roman" w:hAnsi="Times New Roman" w:cs="Times New Roman"/>
          <w:sz w:val="24"/>
          <w:szCs w:val="24"/>
        </w:rPr>
        <w:t xml:space="preserve"> </w:t>
      </w:r>
    </w:p>
    <w:p w14:paraId="10FEAE08" w14:textId="77777777" w:rsidR="00403818" w:rsidRPr="00C03988" w:rsidRDefault="00403818" w:rsidP="00403818">
      <w:pPr>
        <w:spacing w:after="0" w:line="276" w:lineRule="auto"/>
        <w:ind w:firstLine="709"/>
        <w:jc w:val="both"/>
        <w:rPr>
          <w:rFonts w:ascii="Times New Roman" w:hAnsi="Times New Roman" w:cs="Times New Roman"/>
          <w:sz w:val="24"/>
          <w:szCs w:val="24"/>
        </w:rPr>
      </w:pPr>
      <w:r w:rsidRPr="00500DD6">
        <w:rPr>
          <w:rFonts w:ascii="Times New Roman" w:eastAsia="Calibri" w:hAnsi="Times New Roman" w:cs="Times New Roman"/>
          <w:sz w:val="24"/>
          <w:szCs w:val="24"/>
        </w:rPr>
        <w:t>КЗК 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Комисията поставя като акцент в своята дейност и ориентирането на нейните решения както към гарантиране на защита и разширяване на конкуренцията, така и към защита интересите на потребителя. Това е породено от необходимостта да бъде отчетено, че нарушенията на конкуренцията пряко или непряко засягат благосъстоянието на потребителите.</w:t>
      </w:r>
    </w:p>
    <w:p w14:paraId="15671EC8" w14:textId="77777777" w:rsidR="00403818" w:rsidRPr="00C03988" w:rsidRDefault="00403818" w:rsidP="00403818">
      <w:pPr>
        <w:spacing w:after="0" w:line="276" w:lineRule="auto"/>
        <w:ind w:firstLine="709"/>
        <w:jc w:val="both"/>
        <w:rPr>
          <w:rFonts w:ascii="Times New Roman" w:hAnsi="Times New Roman" w:cs="Times New Roman"/>
          <w:b/>
          <w:i/>
          <w:sz w:val="24"/>
          <w:szCs w:val="24"/>
        </w:rPr>
      </w:pPr>
      <w:r w:rsidRPr="00C03988">
        <w:rPr>
          <w:rFonts w:ascii="Times New Roman" w:hAnsi="Times New Roman" w:cs="Times New Roman"/>
          <w:sz w:val="24"/>
          <w:szCs w:val="24"/>
        </w:rPr>
        <w:t>За изпълнението на целите на Комисията допринася взаимодействието с други институции, както следва:</w:t>
      </w:r>
    </w:p>
    <w:p w14:paraId="3014A923" w14:textId="77777777" w:rsidR="00403818" w:rsidRPr="00C03988" w:rsidRDefault="00403818" w:rsidP="001F5BDC">
      <w:pPr>
        <w:pStyle w:val="NormalWeb"/>
        <w:numPr>
          <w:ilvl w:val="0"/>
          <w:numId w:val="4"/>
        </w:numPr>
        <w:spacing w:line="276" w:lineRule="auto"/>
        <w:ind w:left="709"/>
      </w:pPr>
      <w:r w:rsidRPr="00C03988">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0" w:history="1">
        <w:r w:rsidRPr="00C03988">
          <w:rPr>
            <w:rStyle w:val="Hyperlink"/>
          </w:rPr>
          <w:t>Регламент (ЕО) № 1/2003</w:t>
        </w:r>
      </w:hyperlink>
      <w:r w:rsidRPr="00C03988">
        <w:t xml:space="preserve"> и </w:t>
      </w:r>
      <w:hyperlink r:id="rId11" w:history="1">
        <w:r w:rsidRPr="00C03988">
          <w:rPr>
            <w:rStyle w:val="Hyperlink"/>
          </w:rPr>
          <w:t>Регламент (ЕО) № 139/2004</w:t>
        </w:r>
      </w:hyperlink>
      <w:r w:rsidRPr="00C03988">
        <w:rPr>
          <w:lang w:val="en-US"/>
        </w:rPr>
        <w:t>;</w:t>
      </w:r>
    </w:p>
    <w:p w14:paraId="23A96C53" w14:textId="77777777" w:rsidR="00403818" w:rsidRPr="00C03988" w:rsidRDefault="00403818" w:rsidP="001F5BDC">
      <w:pPr>
        <w:pStyle w:val="NormalWeb"/>
        <w:numPr>
          <w:ilvl w:val="0"/>
          <w:numId w:val="4"/>
        </w:numPr>
        <w:spacing w:line="276" w:lineRule="auto"/>
        <w:ind w:left="709"/>
      </w:pPr>
      <w:r w:rsidRPr="00C03988">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14:paraId="35AD6001" w14:textId="77777777" w:rsidR="00403818" w:rsidRPr="00C03988" w:rsidRDefault="00403818" w:rsidP="001F5BDC">
      <w:pPr>
        <w:pStyle w:val="NormalWeb"/>
        <w:numPr>
          <w:ilvl w:val="0"/>
          <w:numId w:val="4"/>
        </w:numPr>
        <w:spacing w:line="276" w:lineRule="auto"/>
        <w:ind w:left="709"/>
      </w:pPr>
      <w:r w:rsidRPr="00C03988">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C03988">
        <w:rPr>
          <w:lang w:val="en-US"/>
        </w:rPr>
        <w:t>.</w:t>
      </w:r>
    </w:p>
    <w:p w14:paraId="7E09FC07" w14:textId="77777777" w:rsidR="008A1E99" w:rsidRPr="008A1E99" w:rsidRDefault="008A1E99" w:rsidP="008A1E99">
      <w:pPr>
        <w:spacing w:after="0" w:line="276" w:lineRule="auto"/>
        <w:ind w:firstLine="567"/>
        <w:jc w:val="both"/>
        <w:rPr>
          <w:rFonts w:ascii="Times New Roman" w:hAnsi="Times New Roman" w:cs="Times New Roman"/>
          <w:sz w:val="24"/>
          <w:szCs w:val="24"/>
        </w:rPr>
      </w:pPr>
    </w:p>
    <w:p w14:paraId="78D0084F" w14:textId="77777777" w:rsidR="008A1E99" w:rsidRDefault="008A1E99" w:rsidP="008A1E99">
      <w:pPr>
        <w:spacing w:after="0" w:line="276" w:lineRule="auto"/>
        <w:ind w:firstLine="567"/>
        <w:jc w:val="both"/>
        <w:rPr>
          <w:rFonts w:ascii="Times New Roman" w:hAnsi="Times New Roman" w:cs="Times New Roman"/>
          <w:sz w:val="24"/>
          <w:szCs w:val="24"/>
        </w:rPr>
      </w:pPr>
      <w:r w:rsidRPr="008A1E99">
        <w:rPr>
          <w:rFonts w:ascii="Times New Roman" w:hAnsi="Times New Roman" w:cs="Times New Roman"/>
          <w:sz w:val="24"/>
          <w:szCs w:val="24"/>
        </w:rPr>
        <w:t>Д</w:t>
      </w:r>
      <w:r w:rsidR="00403818" w:rsidRPr="008A1E99">
        <w:rPr>
          <w:rFonts w:ascii="Times New Roman" w:hAnsi="Times New Roman" w:cs="Times New Roman"/>
          <w:sz w:val="24"/>
          <w:szCs w:val="24"/>
        </w:rPr>
        <w:t xml:space="preserve">ейността на Комисията </w:t>
      </w:r>
      <w:r w:rsidRPr="008A1E99">
        <w:rPr>
          <w:rFonts w:ascii="Times New Roman" w:hAnsi="Times New Roman" w:cs="Times New Roman"/>
          <w:sz w:val="24"/>
          <w:szCs w:val="24"/>
        </w:rPr>
        <w:t xml:space="preserve">е свързана с </w:t>
      </w:r>
      <w:r w:rsidR="00403818" w:rsidRPr="008A1E99">
        <w:rPr>
          <w:rFonts w:ascii="Times New Roman" w:hAnsi="Times New Roman" w:cs="Times New Roman"/>
          <w:sz w:val="24"/>
          <w:szCs w:val="24"/>
        </w:rPr>
        <w:t xml:space="preserve">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r>
        <w:rPr>
          <w:rFonts w:ascii="Times New Roman" w:hAnsi="Times New Roman" w:cs="Times New Roman"/>
          <w:sz w:val="24"/>
          <w:szCs w:val="24"/>
        </w:rPr>
        <w:t xml:space="preserve"> </w:t>
      </w:r>
    </w:p>
    <w:p w14:paraId="2D31B292" w14:textId="4879842A" w:rsidR="00403818" w:rsidRPr="008A1E99" w:rsidRDefault="00403818" w:rsidP="008A1E99">
      <w:pPr>
        <w:spacing w:after="0" w:line="276" w:lineRule="auto"/>
        <w:ind w:firstLine="567"/>
        <w:jc w:val="both"/>
        <w:rPr>
          <w:rFonts w:ascii="Times New Roman" w:hAnsi="Times New Roman" w:cs="Times New Roman"/>
          <w:sz w:val="24"/>
          <w:szCs w:val="24"/>
        </w:rPr>
        <w:sectPr w:rsidR="00403818" w:rsidRPr="008A1E99" w:rsidSect="00403818">
          <w:pgSz w:w="11906" w:h="16838"/>
          <w:pgMar w:top="1134" w:right="1418" w:bottom="1418" w:left="1418" w:header="709" w:footer="709" w:gutter="0"/>
          <w:cols w:space="708"/>
          <w:docGrid w:linePitch="360"/>
        </w:sectPr>
      </w:pPr>
      <w:r w:rsidRPr="009A6C7C">
        <w:rPr>
          <w:rFonts w:ascii="Times New Roman" w:hAnsi="Times New Roman" w:cs="Times New Roman"/>
          <w:sz w:val="24"/>
          <w:szCs w:val="24"/>
        </w:rPr>
        <w:t xml:space="preserve">Съгласно указание на Министерство на финансите </w:t>
      </w:r>
      <w:r w:rsidRPr="001F65BE">
        <w:rPr>
          <w:rFonts w:ascii="Times New Roman" w:hAnsi="Times New Roman" w:cs="Times New Roman"/>
          <w:sz w:val="24"/>
          <w:szCs w:val="24"/>
        </w:rPr>
        <w:t>БЮ № 3 от 30.08.2019 г. за новоопределените ПРБ с Решение на Министерски съвет № 520 от 29.08.2019 г.,</w:t>
      </w:r>
      <w:r w:rsidRPr="009A6C7C">
        <w:rPr>
          <w:rFonts w:ascii="Times New Roman" w:hAnsi="Times New Roman" w:cs="Times New Roman"/>
          <w:sz w:val="24"/>
          <w:szCs w:val="24"/>
        </w:rPr>
        <w:t xml:space="preserve"> не се изисква дефиниране на показатели за полза/ ефект и залагането на целеви стойности по</w:t>
      </w:r>
    </w:p>
    <w:p w14:paraId="5E44EEEC" w14:textId="33B13C80" w:rsidR="00754B8D" w:rsidRPr="009A6C7C" w:rsidRDefault="00044621" w:rsidP="00403818">
      <w:pPr>
        <w:spacing w:after="0" w:line="276" w:lineRule="auto"/>
        <w:jc w:val="both"/>
        <w:rPr>
          <w:rFonts w:ascii="Times New Roman" w:hAnsi="Times New Roman" w:cs="Times New Roman"/>
          <w:sz w:val="24"/>
          <w:szCs w:val="24"/>
        </w:rPr>
      </w:pPr>
      <w:r w:rsidRPr="009A6C7C">
        <w:rPr>
          <w:rFonts w:ascii="Times New Roman" w:hAnsi="Times New Roman" w:cs="Times New Roman"/>
          <w:sz w:val="24"/>
          <w:szCs w:val="24"/>
        </w:rPr>
        <w:lastRenderedPageBreak/>
        <w:t>тези показатели за изпълнение, поради което не може да бъде предоставена информация за наличността и к</w:t>
      </w:r>
      <w:r w:rsidR="00754B8D" w:rsidRPr="009A6C7C">
        <w:rPr>
          <w:rFonts w:ascii="Times New Roman" w:hAnsi="Times New Roman" w:cs="Times New Roman"/>
          <w:sz w:val="24"/>
          <w:szCs w:val="24"/>
        </w:rPr>
        <w:t>ачеството на данните.</w:t>
      </w:r>
    </w:p>
    <w:p w14:paraId="158EBC43" w14:textId="77777777" w:rsidR="00E30400" w:rsidRDefault="00E30400" w:rsidP="006B2D3F">
      <w:pPr>
        <w:spacing w:after="0" w:line="276" w:lineRule="auto"/>
        <w:jc w:val="both"/>
        <w:rPr>
          <w:rFonts w:ascii="Times New Roman" w:hAnsi="Times New Roman" w:cs="Times New Roman"/>
          <w:b/>
          <w:i/>
          <w:sz w:val="24"/>
          <w:szCs w:val="24"/>
        </w:rPr>
      </w:pPr>
    </w:p>
    <w:p w14:paraId="1FD918BB" w14:textId="77777777" w:rsidR="00754B8D" w:rsidRPr="009A6C7C" w:rsidRDefault="00754B8D" w:rsidP="00523F66">
      <w:pPr>
        <w:spacing w:after="0" w:line="276" w:lineRule="auto"/>
        <w:jc w:val="both"/>
        <w:rPr>
          <w:rFonts w:ascii="Times New Roman" w:hAnsi="Times New Roman" w:cs="Times New Roman"/>
          <w:b/>
          <w:i/>
          <w:sz w:val="24"/>
          <w:szCs w:val="24"/>
        </w:rPr>
      </w:pPr>
      <w:r w:rsidRPr="009A6C7C">
        <w:rPr>
          <w:rFonts w:ascii="Times New Roman" w:hAnsi="Times New Roman" w:cs="Times New Roman"/>
          <w:b/>
          <w:i/>
          <w:sz w:val="24"/>
          <w:szCs w:val="24"/>
        </w:rPr>
        <w:t xml:space="preserve">Отговорност за изпълнението на </w:t>
      </w:r>
      <w:r w:rsidR="009A6C7C" w:rsidRPr="009A6C7C">
        <w:rPr>
          <w:rFonts w:ascii="Times New Roman" w:hAnsi="Times New Roman" w:cs="Times New Roman"/>
          <w:b/>
          <w:i/>
          <w:sz w:val="24"/>
          <w:szCs w:val="24"/>
        </w:rPr>
        <w:t>целите на функционалната област:</w:t>
      </w:r>
    </w:p>
    <w:p w14:paraId="66966EDC" w14:textId="77777777" w:rsidR="00F645AD" w:rsidRDefault="00DD47D3" w:rsidP="001F5BDC">
      <w:pPr>
        <w:pStyle w:val="ListParagraph"/>
        <w:numPr>
          <w:ilvl w:val="0"/>
          <w:numId w:val="11"/>
        </w:numPr>
        <w:spacing w:line="276" w:lineRule="auto"/>
        <w:contextualSpacing/>
        <w:jc w:val="both"/>
        <w:rPr>
          <w:rFonts w:ascii="Times New Roman" w:hAnsi="Times New Roman" w:cs="Times New Roman"/>
        </w:rPr>
      </w:pPr>
      <w:r w:rsidRPr="00F645AD">
        <w:rPr>
          <w:rFonts w:ascii="Times New Roman" w:hAnsi="Times New Roman" w:cs="Times New Roman"/>
        </w:rPr>
        <w:t>Председателят на Комисията, като представляващ цялостната дейност на КЗК;</w:t>
      </w:r>
    </w:p>
    <w:p w14:paraId="3427DF37" w14:textId="77777777" w:rsidR="00DD47D3" w:rsidRPr="00F645AD" w:rsidRDefault="00DD47D3" w:rsidP="001F5BDC">
      <w:pPr>
        <w:pStyle w:val="ListParagraph"/>
        <w:numPr>
          <w:ilvl w:val="0"/>
          <w:numId w:val="11"/>
        </w:numPr>
        <w:spacing w:line="276" w:lineRule="auto"/>
        <w:contextualSpacing/>
        <w:jc w:val="both"/>
        <w:rPr>
          <w:rFonts w:ascii="Times New Roman" w:hAnsi="Times New Roman" w:cs="Times New Roman"/>
        </w:rPr>
      </w:pPr>
      <w:r w:rsidRPr="00F645AD">
        <w:rPr>
          <w:rFonts w:ascii="Times New Roman" w:hAnsi="Times New Roman" w:cs="Times New Roman"/>
        </w:rPr>
        <w:t>Ресорните директор</w:t>
      </w:r>
      <w:r w:rsidR="00280EAE">
        <w:rPr>
          <w:rFonts w:ascii="Times New Roman" w:hAnsi="Times New Roman" w:cs="Times New Roman"/>
        </w:rPr>
        <w:t>и на</w:t>
      </w:r>
      <w:r w:rsidRPr="00F645AD">
        <w:rPr>
          <w:rFonts w:ascii="Times New Roman" w:hAnsi="Times New Roman" w:cs="Times New Roman"/>
        </w:rPr>
        <w:t xml:space="preserve"> дирекции, като отговорни по конкретните задачи.</w:t>
      </w:r>
    </w:p>
    <w:p w14:paraId="78AB0D08" w14:textId="77777777" w:rsidR="00754B8D" w:rsidRDefault="00754B8D" w:rsidP="00AD20FF">
      <w:pPr>
        <w:pStyle w:val="BodyText"/>
        <w:widowControl w:val="0"/>
        <w:spacing w:line="276" w:lineRule="auto"/>
        <w:rPr>
          <w:b/>
          <w:sz w:val="24"/>
          <w:lang w:val="bg-BG"/>
        </w:rPr>
      </w:pPr>
    </w:p>
    <w:p w14:paraId="551FD3C2" w14:textId="77777777" w:rsidR="00576E21" w:rsidRDefault="000B43CE" w:rsidP="006B2D3F">
      <w:pPr>
        <w:pStyle w:val="BodyText"/>
        <w:widowControl w:val="0"/>
        <w:tabs>
          <w:tab w:val="left" w:pos="851"/>
        </w:tabs>
        <w:spacing w:line="276" w:lineRule="auto"/>
        <w:ind w:left="709" w:hanging="709"/>
        <w:rPr>
          <w:b/>
          <w:sz w:val="24"/>
          <w:lang w:val="bg-BG"/>
        </w:rPr>
      </w:pPr>
      <w:r>
        <w:rPr>
          <w:b/>
          <w:sz w:val="24"/>
        </w:rPr>
        <w:t xml:space="preserve">VI.    </w:t>
      </w:r>
      <w:r>
        <w:rPr>
          <w:b/>
          <w:sz w:val="24"/>
        </w:rPr>
        <w:tab/>
      </w:r>
      <w:r w:rsidR="00576E21">
        <w:rPr>
          <w:b/>
          <w:sz w:val="24"/>
          <w:lang w:val="bg-BG"/>
        </w:rPr>
        <w:t>ПРЕГЛЕД НА БЮДЖЕТНА ПРОГРАМА</w:t>
      </w:r>
      <w:r w:rsidR="00576E21" w:rsidRPr="00576E21">
        <w:rPr>
          <w:b/>
          <w:sz w:val="24"/>
          <w:lang w:val="bg-BG"/>
        </w:rPr>
        <w:t xml:space="preserve"> „ЗАЩИТА НА КОНКУРЕНЦИЯТА И КОНТРОЛ НА ЗАКОНОСЪОБРАЗНОСТТА ПРИ ПРОЦЕДУРИТЕ ПО ВЪЗЛАГАНЕ НА ОБЩЕСТВЕНИ ПОРЪЧКИ И ПРЕДОСТАВЯНЕ НА КОНЦЕСИИ“</w:t>
      </w:r>
    </w:p>
    <w:p w14:paraId="410B8A06" w14:textId="77777777" w:rsidR="007879EC" w:rsidRDefault="007879EC" w:rsidP="006B2D3F">
      <w:pPr>
        <w:spacing w:after="0" w:line="276" w:lineRule="auto"/>
        <w:jc w:val="both"/>
        <w:rPr>
          <w:rFonts w:ascii="Times New Roman" w:eastAsia="Times New Roman" w:hAnsi="Times New Roman" w:cs="Times New Roman"/>
          <w:b/>
          <w:i/>
          <w:sz w:val="24"/>
          <w:szCs w:val="24"/>
          <w:lang w:eastAsia="bg-BG"/>
        </w:rPr>
      </w:pPr>
    </w:p>
    <w:p w14:paraId="72BAEC22" w14:textId="77777777" w:rsidR="00C233D6" w:rsidRPr="00CC4C66" w:rsidRDefault="00A37AE7" w:rsidP="00E30400">
      <w:pPr>
        <w:spacing w:after="0" w:line="276" w:lineRule="auto"/>
        <w:jc w:val="both"/>
        <w:rPr>
          <w:rFonts w:ascii="Times New Roman" w:hAnsi="Times New Roman" w:cs="Times New Roman"/>
          <w:b/>
          <w:i/>
          <w:sz w:val="24"/>
          <w:szCs w:val="24"/>
          <w:lang w:val="en-US"/>
        </w:rPr>
      </w:pPr>
      <w:r>
        <w:rPr>
          <w:rFonts w:ascii="Times New Roman" w:hAnsi="Times New Roman" w:cs="Times New Roman"/>
          <w:b/>
          <w:i/>
          <w:sz w:val="24"/>
          <w:szCs w:val="24"/>
        </w:rPr>
        <w:t xml:space="preserve">а) </w:t>
      </w:r>
      <w:r w:rsidR="003D3355" w:rsidRPr="00CC4C66">
        <w:rPr>
          <w:rFonts w:ascii="Times New Roman" w:hAnsi="Times New Roman" w:cs="Times New Roman"/>
          <w:b/>
          <w:i/>
          <w:sz w:val="24"/>
          <w:szCs w:val="24"/>
        </w:rPr>
        <w:t xml:space="preserve">Изпълнение на заложените в </w:t>
      </w:r>
      <w:r w:rsidR="004E1491">
        <w:rPr>
          <w:rFonts w:ascii="Times New Roman" w:hAnsi="Times New Roman" w:cs="Times New Roman"/>
          <w:b/>
          <w:i/>
          <w:sz w:val="24"/>
          <w:szCs w:val="24"/>
        </w:rPr>
        <w:t>програма</w:t>
      </w:r>
      <w:r w:rsidR="003B6917">
        <w:rPr>
          <w:rFonts w:ascii="Times New Roman" w:hAnsi="Times New Roman" w:cs="Times New Roman"/>
          <w:b/>
          <w:i/>
          <w:sz w:val="24"/>
          <w:szCs w:val="24"/>
        </w:rPr>
        <w:t>та</w:t>
      </w:r>
      <w:r w:rsidR="0048005A">
        <w:rPr>
          <w:rFonts w:ascii="Times New Roman" w:hAnsi="Times New Roman" w:cs="Times New Roman"/>
          <w:b/>
          <w:i/>
          <w:sz w:val="24"/>
          <w:szCs w:val="24"/>
        </w:rPr>
        <w:t xml:space="preserve"> </w:t>
      </w:r>
      <w:r w:rsidR="003D3355" w:rsidRPr="00CC4C66">
        <w:rPr>
          <w:rFonts w:ascii="Times New Roman" w:hAnsi="Times New Roman" w:cs="Times New Roman"/>
          <w:b/>
          <w:i/>
          <w:sz w:val="24"/>
          <w:szCs w:val="24"/>
        </w:rPr>
        <w:t>ц</w:t>
      </w:r>
      <w:r w:rsidR="00C233D6" w:rsidRPr="00CC4C66">
        <w:rPr>
          <w:rFonts w:ascii="Times New Roman" w:hAnsi="Times New Roman" w:cs="Times New Roman"/>
          <w:b/>
          <w:i/>
          <w:sz w:val="24"/>
          <w:szCs w:val="24"/>
        </w:rPr>
        <w:t>ели</w:t>
      </w:r>
    </w:p>
    <w:p w14:paraId="0801BA08" w14:textId="5245E2F6" w:rsidR="00C233D6" w:rsidRPr="00CC4C66" w:rsidRDefault="00B53F4F" w:rsidP="006B2D3F">
      <w:pPr>
        <w:spacing w:after="0" w:line="276" w:lineRule="auto"/>
        <w:ind w:firstLine="709"/>
        <w:jc w:val="both"/>
        <w:rPr>
          <w:rFonts w:ascii="Times New Roman" w:hAnsi="Times New Roman" w:cs="Times New Roman"/>
          <w:sz w:val="24"/>
          <w:szCs w:val="24"/>
        </w:rPr>
      </w:pPr>
      <w:r w:rsidRPr="00CC4C66">
        <w:rPr>
          <w:rFonts w:ascii="Times New Roman" w:hAnsi="Times New Roman" w:cs="Times New Roman"/>
          <w:sz w:val="24"/>
          <w:szCs w:val="24"/>
        </w:rPr>
        <w:t xml:space="preserve">В работния процес на Комисията през отчетния период бяха предвидени и осъществени дейности, които в своята съвкупност да доведат до изпълнението на заложените </w:t>
      </w:r>
      <w:r w:rsidR="00C233D6" w:rsidRPr="00CC4C66">
        <w:rPr>
          <w:rFonts w:ascii="Times New Roman" w:hAnsi="Times New Roman" w:cs="Times New Roman"/>
          <w:sz w:val="24"/>
          <w:szCs w:val="24"/>
        </w:rPr>
        <w:t xml:space="preserve">оперативни цели: </w:t>
      </w:r>
    </w:p>
    <w:p w14:paraId="454A8B1D" w14:textId="77777777" w:rsidR="00CC4C66"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CC4C66">
        <w:rPr>
          <w:rFonts w:ascii="Times New Roman" w:hAnsi="Times New Roman" w:cs="Times New Roman"/>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14:paraId="57C7B8F1" w14:textId="77777777" w:rsidR="00CC4C66"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CC4C66">
        <w:rPr>
          <w:rFonts w:ascii="Times New Roman" w:hAnsi="Times New Roman" w:cs="Times New Roman"/>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14:paraId="240ED47D" w14:textId="77777777" w:rsidR="00CC4C66"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CC4C66">
        <w:rPr>
          <w:rFonts w:ascii="Times New Roman" w:hAnsi="Times New Roman" w:cs="Times New Roman"/>
        </w:rPr>
        <w:t xml:space="preserve">Осигуряване на защита срещу злоупотреба с монополно и господстващо положение на пазара; </w:t>
      </w:r>
    </w:p>
    <w:p w14:paraId="67FA7834" w14:textId="77777777" w:rsidR="00CC4C66"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CC4C66">
        <w:rPr>
          <w:rFonts w:ascii="Times New Roman" w:hAnsi="Times New Roman" w:cs="Times New Roman"/>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14:paraId="0EE256F5" w14:textId="77777777" w:rsidR="00CC4C66"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CC4C66">
        <w:rPr>
          <w:rFonts w:ascii="Times New Roman" w:hAnsi="Times New Roman" w:cs="Times New Roman"/>
        </w:rPr>
        <w:t>Избягване в</w:t>
      </w:r>
      <w:r w:rsidR="00030F08" w:rsidRPr="00CC4C66">
        <w:rPr>
          <w:rFonts w:ascii="Times New Roman" w:hAnsi="Times New Roman" w:cs="Times New Roman"/>
        </w:rPr>
        <w:t>ъвеждането на разпоредби, които</w:t>
      </w:r>
      <w:r w:rsidRPr="00CC4C66">
        <w:rPr>
          <w:rFonts w:ascii="Times New Roman" w:hAnsi="Times New Roman" w:cs="Times New Roman"/>
        </w:rPr>
        <w:t xml:space="preserve"> неоправдано ограничават свободната стопанска инициатива и лишават потребителите от преимуществата на ефективен и работещ пазар;</w:t>
      </w:r>
    </w:p>
    <w:p w14:paraId="1C2EB658" w14:textId="18521F45" w:rsidR="00CC4C66"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CC4C66">
        <w:rPr>
          <w:rFonts w:ascii="Times New Roman" w:hAnsi="Times New Roman" w:cs="Times New Roman"/>
        </w:rPr>
        <w:t>Извършване на мониторинг и анализ на конкурентната среда на сектори, отрасли, подотрасли, в които конкуренцията може да бъде предотвратена, ограничена или нарушена;</w:t>
      </w:r>
    </w:p>
    <w:p w14:paraId="4716106E" w14:textId="77777777" w:rsidR="00CC4C66"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CC4C66">
        <w:rPr>
          <w:rFonts w:ascii="Times New Roman" w:hAnsi="Times New Roman" w:cs="Times New Roman"/>
        </w:rPr>
        <w:t>Гарантирано и непротиворечиво прилагане на европейските правила на конкуренция и на общностното право в областта на антитръста;</w:t>
      </w:r>
    </w:p>
    <w:p w14:paraId="34812A39" w14:textId="77777777" w:rsidR="00CC4C66"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CC4C66">
        <w:rPr>
          <w:rFonts w:ascii="Times New Roman" w:hAnsi="Times New Roman" w:cs="Times New Roman"/>
        </w:rPr>
        <w:t>Повишаване на информираността на обществото и стопанските субекти за правилата в областта на конкуренцията.</w:t>
      </w:r>
    </w:p>
    <w:p w14:paraId="5A3D9383" w14:textId="77777777" w:rsidR="00CC4C66"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CC4C66">
        <w:rPr>
          <w:rFonts w:ascii="Times New Roman" w:hAnsi="Times New Roman" w:cs="Times New Roman"/>
        </w:rPr>
        <w:t xml:space="preserve">Осигуряване на защита срещу незаконосъобразни решения, действия и бездействия на възложителите на обществени поръчки. </w:t>
      </w:r>
    </w:p>
    <w:p w14:paraId="65FE72D8" w14:textId="60189A3A" w:rsidR="001F65B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CC4C66">
        <w:rPr>
          <w:rFonts w:ascii="Times New Roman" w:hAnsi="Times New Roman" w:cs="Times New Roman"/>
        </w:rPr>
        <w:t xml:space="preserve">Осигуряване на защита срещу незаконосъобразни решения, действия и бездействия на концедентите. </w:t>
      </w:r>
    </w:p>
    <w:p w14:paraId="2AE1896D" w14:textId="77777777" w:rsidR="001F65BE" w:rsidRPr="001F65BE" w:rsidRDefault="001F65BE" w:rsidP="001F65BE">
      <w:pPr>
        <w:pStyle w:val="ListParagraph"/>
        <w:tabs>
          <w:tab w:val="left" w:pos="426"/>
        </w:tabs>
        <w:spacing w:line="276" w:lineRule="auto"/>
        <w:ind w:left="720"/>
        <w:contextualSpacing/>
        <w:jc w:val="both"/>
        <w:rPr>
          <w:rFonts w:ascii="Times New Roman" w:hAnsi="Times New Roman" w:cs="Times New Roman"/>
        </w:rPr>
      </w:pPr>
    </w:p>
    <w:p w14:paraId="532B48D5" w14:textId="77777777" w:rsidR="004635A4" w:rsidRPr="006646D4" w:rsidRDefault="00A37AE7" w:rsidP="00E30400">
      <w:pPr>
        <w:spacing w:after="0" w:line="276" w:lineRule="auto"/>
        <w:jc w:val="both"/>
        <w:rPr>
          <w:rFonts w:ascii="Times New Roman" w:hAnsi="Times New Roman" w:cs="Times New Roman"/>
          <w:b/>
          <w:i/>
          <w:sz w:val="24"/>
          <w:szCs w:val="24"/>
        </w:rPr>
      </w:pPr>
      <w:r>
        <w:rPr>
          <w:rFonts w:ascii="Times New Roman" w:hAnsi="Times New Roman" w:cs="Times New Roman"/>
          <w:b/>
          <w:i/>
          <w:sz w:val="24"/>
          <w:szCs w:val="24"/>
        </w:rPr>
        <w:lastRenderedPageBreak/>
        <w:t xml:space="preserve">б) </w:t>
      </w:r>
      <w:r w:rsidR="004635A4" w:rsidRPr="004635A4">
        <w:rPr>
          <w:rFonts w:ascii="Times New Roman" w:hAnsi="Times New Roman" w:cs="Times New Roman"/>
          <w:b/>
          <w:i/>
          <w:sz w:val="24"/>
          <w:szCs w:val="24"/>
        </w:rPr>
        <w:t>Пост</w:t>
      </w:r>
      <w:r w:rsidR="00E30400">
        <w:rPr>
          <w:rFonts w:ascii="Times New Roman" w:hAnsi="Times New Roman" w:cs="Times New Roman"/>
          <w:b/>
          <w:i/>
          <w:sz w:val="24"/>
          <w:szCs w:val="24"/>
        </w:rPr>
        <w:t xml:space="preserve">игнати резултати по </w:t>
      </w:r>
      <w:r w:rsidR="003B6917">
        <w:rPr>
          <w:rFonts w:ascii="Times New Roman" w:hAnsi="Times New Roman" w:cs="Times New Roman"/>
          <w:b/>
          <w:i/>
          <w:sz w:val="24"/>
          <w:szCs w:val="24"/>
        </w:rPr>
        <w:t xml:space="preserve">предоставяните </w:t>
      </w:r>
      <w:r w:rsidR="004635A4" w:rsidRPr="004635A4">
        <w:rPr>
          <w:rFonts w:ascii="Times New Roman" w:hAnsi="Times New Roman" w:cs="Times New Roman"/>
          <w:b/>
          <w:i/>
          <w:sz w:val="24"/>
          <w:szCs w:val="24"/>
        </w:rPr>
        <w:t>услуги</w:t>
      </w:r>
      <w:r w:rsidR="00E30400">
        <w:rPr>
          <w:rFonts w:ascii="Times New Roman" w:hAnsi="Times New Roman" w:cs="Times New Roman"/>
          <w:b/>
          <w:i/>
          <w:sz w:val="24"/>
          <w:szCs w:val="24"/>
        </w:rPr>
        <w:t>,</w:t>
      </w:r>
      <w:r w:rsidR="00570909">
        <w:rPr>
          <w:rFonts w:ascii="Times New Roman" w:hAnsi="Times New Roman" w:cs="Times New Roman"/>
          <w:b/>
          <w:i/>
          <w:sz w:val="24"/>
          <w:szCs w:val="24"/>
        </w:rPr>
        <w:t xml:space="preserve"> </w:t>
      </w:r>
      <w:r w:rsidR="00E30400">
        <w:rPr>
          <w:rFonts w:ascii="Times New Roman" w:hAnsi="Times New Roman" w:cs="Times New Roman"/>
          <w:b/>
          <w:i/>
          <w:sz w:val="24"/>
          <w:szCs w:val="24"/>
        </w:rPr>
        <w:t>заложени в</w:t>
      </w:r>
      <w:r w:rsidR="00570909">
        <w:rPr>
          <w:rFonts w:ascii="Times New Roman" w:hAnsi="Times New Roman" w:cs="Times New Roman"/>
          <w:b/>
          <w:i/>
          <w:sz w:val="24"/>
          <w:szCs w:val="24"/>
        </w:rPr>
        <w:t xml:space="preserve"> бюджетната програма:</w:t>
      </w:r>
    </w:p>
    <w:p w14:paraId="3E95EB45" w14:textId="01271A95" w:rsidR="003B381F" w:rsidRDefault="00C233D6" w:rsidP="001F5BDC">
      <w:pPr>
        <w:pStyle w:val="ListParagraph"/>
        <w:numPr>
          <w:ilvl w:val="0"/>
          <w:numId w:val="6"/>
        </w:numPr>
        <w:spacing w:line="276" w:lineRule="auto"/>
        <w:jc w:val="both"/>
        <w:rPr>
          <w:rFonts w:ascii="Times New Roman" w:hAnsi="Times New Roman" w:cs="Times New Roman"/>
          <w:b/>
          <w:color w:val="000000" w:themeColor="text1"/>
        </w:rPr>
      </w:pPr>
      <w:r w:rsidRPr="003C5C40">
        <w:rPr>
          <w:rFonts w:ascii="Times New Roman" w:hAnsi="Times New Roman" w:cs="Times New Roman"/>
          <w:b/>
          <w:color w:val="000000" w:themeColor="text1"/>
        </w:rPr>
        <w:t xml:space="preserve">Издаване на индивидуални административни актове по Закона за защита на конкуренцията; </w:t>
      </w:r>
    </w:p>
    <w:p w14:paraId="54338119" w14:textId="77777777" w:rsidR="007954E2" w:rsidRDefault="007954E2" w:rsidP="007954E2">
      <w:pPr>
        <w:pStyle w:val="ListParagraph"/>
        <w:spacing w:line="276" w:lineRule="auto"/>
        <w:ind w:left="720"/>
        <w:jc w:val="both"/>
        <w:rPr>
          <w:rFonts w:ascii="Times New Roman" w:hAnsi="Times New Roman" w:cs="Times New Roman"/>
          <w:b/>
          <w:color w:val="000000" w:themeColor="text1"/>
        </w:rPr>
      </w:pPr>
    </w:p>
    <w:p w14:paraId="236084D2" w14:textId="6CE522B2" w:rsidR="007954E2" w:rsidRPr="00344ED6" w:rsidRDefault="007954E2" w:rsidP="004E09FD">
      <w:pPr>
        <w:numPr>
          <w:ilvl w:val="0"/>
          <w:numId w:val="12"/>
        </w:numPr>
        <w:spacing w:after="0" w:line="276" w:lineRule="auto"/>
        <w:ind w:left="1134" w:hanging="425"/>
        <w:jc w:val="both"/>
        <w:rPr>
          <w:rFonts w:ascii="Times New Roman" w:hAnsi="Times New Roman" w:cs="Times New Roman"/>
          <w:b/>
          <w:color w:val="000000" w:themeColor="text1"/>
          <w:sz w:val="24"/>
          <w:szCs w:val="24"/>
        </w:rPr>
      </w:pPr>
      <w:r w:rsidRPr="00344ED6">
        <w:rPr>
          <w:rFonts w:ascii="Times New Roman" w:hAnsi="Times New Roman" w:cs="Times New Roman"/>
          <w:b/>
          <w:color w:val="000000" w:themeColor="text1"/>
          <w:sz w:val="24"/>
          <w:szCs w:val="24"/>
        </w:rPr>
        <w:t xml:space="preserve">Решения и Определения по </w:t>
      </w:r>
      <w:r w:rsidRPr="00344ED6">
        <w:rPr>
          <w:rFonts w:ascii="Times New Roman" w:hAnsi="Times New Roman" w:cs="Times New Roman"/>
          <w:b/>
          <w:sz w:val="24"/>
          <w:szCs w:val="24"/>
        </w:rPr>
        <w:t xml:space="preserve"> Глава ІІ</w:t>
      </w:r>
      <w:r w:rsidRPr="00344ED6">
        <w:rPr>
          <w:rFonts w:ascii="Times New Roman" w:hAnsi="Times New Roman" w:cs="Times New Roman"/>
          <w:b/>
          <w:sz w:val="24"/>
          <w:szCs w:val="24"/>
          <w:lang w:val="en-US"/>
        </w:rPr>
        <w:t>I</w:t>
      </w:r>
      <w:r w:rsidRPr="00344ED6">
        <w:rPr>
          <w:rFonts w:ascii="Times New Roman" w:hAnsi="Times New Roman" w:cs="Times New Roman"/>
          <w:b/>
          <w:sz w:val="24"/>
          <w:szCs w:val="24"/>
        </w:rPr>
        <w:t xml:space="preserve">  и по Глава </w:t>
      </w:r>
      <w:r w:rsidRPr="00344ED6">
        <w:rPr>
          <w:rFonts w:ascii="Times New Roman" w:hAnsi="Times New Roman" w:cs="Times New Roman"/>
          <w:b/>
          <w:sz w:val="24"/>
          <w:szCs w:val="24"/>
          <w:lang w:val="en-US"/>
        </w:rPr>
        <w:t>I</w:t>
      </w:r>
      <w:r w:rsidRPr="00344ED6">
        <w:rPr>
          <w:rFonts w:ascii="Times New Roman" w:hAnsi="Times New Roman" w:cs="Times New Roman"/>
          <w:b/>
          <w:sz w:val="24"/>
          <w:szCs w:val="24"/>
        </w:rPr>
        <w:t>V от ЗЗК</w:t>
      </w:r>
    </w:p>
    <w:p w14:paraId="0E3503F9" w14:textId="405A1706" w:rsidR="007954E2" w:rsidRPr="00344ED6" w:rsidRDefault="007954E2" w:rsidP="004E09FD">
      <w:pPr>
        <w:numPr>
          <w:ilvl w:val="0"/>
          <w:numId w:val="16"/>
        </w:numPr>
        <w:spacing w:after="0" w:line="276" w:lineRule="auto"/>
        <w:ind w:left="1134" w:hanging="425"/>
        <w:rPr>
          <w:rFonts w:ascii="Times New Roman" w:hAnsi="Times New Roman" w:cs="Times New Roman"/>
          <w:b/>
          <w:sz w:val="24"/>
          <w:szCs w:val="24"/>
        </w:rPr>
      </w:pPr>
      <w:r w:rsidRPr="00344ED6">
        <w:rPr>
          <w:rFonts w:ascii="Times New Roman" w:hAnsi="Times New Roman" w:cs="Times New Roman"/>
          <w:b/>
          <w:sz w:val="24"/>
          <w:szCs w:val="24"/>
        </w:rPr>
        <w:t xml:space="preserve">Забранени споразумения, решения и съгласувани практики (Глава </w:t>
      </w:r>
      <w:r w:rsidRPr="00344ED6">
        <w:rPr>
          <w:rFonts w:ascii="Times New Roman" w:hAnsi="Times New Roman" w:cs="Times New Roman"/>
          <w:b/>
          <w:sz w:val="24"/>
          <w:szCs w:val="24"/>
          <w:lang w:val="en-US"/>
        </w:rPr>
        <w:t>III</w:t>
      </w:r>
      <w:r w:rsidRPr="00344ED6">
        <w:rPr>
          <w:rFonts w:ascii="Times New Roman" w:hAnsi="Times New Roman" w:cs="Times New Roman"/>
          <w:b/>
          <w:sz w:val="24"/>
          <w:szCs w:val="24"/>
        </w:rPr>
        <w:t xml:space="preserve"> от ЗЗК)</w:t>
      </w:r>
    </w:p>
    <w:p w14:paraId="05D45AE9" w14:textId="7BFAA20F" w:rsidR="002052FC" w:rsidRPr="00344ED6" w:rsidRDefault="002052FC" w:rsidP="004E09FD">
      <w:pPr>
        <w:spacing w:after="0" w:line="276" w:lineRule="auto"/>
        <w:ind w:firstLine="708"/>
        <w:jc w:val="both"/>
        <w:rPr>
          <w:rFonts w:ascii="Times New Roman" w:eastAsia="Calibri" w:hAnsi="Times New Roman" w:cs="Times New Roman"/>
          <w:sz w:val="24"/>
          <w:szCs w:val="24"/>
          <w:lang w:eastAsia="bg-BG"/>
        </w:rPr>
      </w:pPr>
      <w:r w:rsidRPr="00344ED6">
        <w:rPr>
          <w:rFonts w:ascii="Times New Roman" w:eastAsia="Calibri" w:hAnsi="Times New Roman" w:cs="Times New Roman"/>
          <w:sz w:val="24"/>
          <w:szCs w:val="24"/>
          <w:lang w:eastAsia="bg-BG"/>
        </w:rPr>
        <w:t xml:space="preserve">През първото полугодие на 2021 г. Комисията е </w:t>
      </w:r>
      <w:r w:rsidRPr="00344ED6">
        <w:rPr>
          <w:rFonts w:ascii="Times New Roman" w:eastAsia="Calibri" w:hAnsi="Times New Roman" w:cs="Times New Roman"/>
          <w:b/>
          <w:sz w:val="24"/>
          <w:szCs w:val="24"/>
          <w:lang w:eastAsia="bg-BG"/>
        </w:rPr>
        <w:t>образува</w:t>
      </w:r>
      <w:r w:rsidR="00A773CF">
        <w:rPr>
          <w:rFonts w:ascii="Times New Roman" w:eastAsia="Calibri" w:hAnsi="Times New Roman" w:cs="Times New Roman"/>
          <w:b/>
          <w:sz w:val="24"/>
          <w:szCs w:val="24"/>
          <w:lang w:eastAsia="bg-BG"/>
        </w:rPr>
        <w:t>ла</w:t>
      </w:r>
      <w:r w:rsidRPr="00344ED6">
        <w:rPr>
          <w:rFonts w:ascii="Times New Roman" w:eastAsia="Calibri" w:hAnsi="Times New Roman" w:cs="Times New Roman"/>
          <w:sz w:val="24"/>
          <w:szCs w:val="24"/>
          <w:lang w:eastAsia="bg-BG"/>
        </w:rPr>
        <w:t xml:space="preserve"> </w:t>
      </w:r>
      <w:r w:rsidRPr="00344ED6">
        <w:rPr>
          <w:rFonts w:ascii="Times New Roman" w:eastAsia="Calibri" w:hAnsi="Times New Roman" w:cs="Times New Roman"/>
          <w:b/>
          <w:sz w:val="24"/>
          <w:szCs w:val="24"/>
          <w:lang w:eastAsia="bg-BG"/>
        </w:rPr>
        <w:t>2</w:t>
      </w:r>
      <w:r w:rsidRPr="00344ED6">
        <w:rPr>
          <w:rFonts w:ascii="Times New Roman" w:eastAsia="Calibri" w:hAnsi="Times New Roman" w:cs="Times New Roman"/>
          <w:sz w:val="24"/>
          <w:szCs w:val="24"/>
          <w:lang w:eastAsia="bg-BG"/>
        </w:rPr>
        <w:t xml:space="preserve"> производства с предмет установяване наличието или липсата на нарушения по Глава трета „Забранени споразумения, решения и съгласувани практики“ от ЗЗК и/или по чл. 101 от Договора за Функциониране на Европейския Съюз (ДФЕС). Едното от производствата е образувано на основание чл. 38, ал. 1, т. 3 от ЗЗК по искане на засегнато лице и касае сектора на товарния железопътен превоз и необходимия в тази връзка достъп до железопътна инфраструктура</w:t>
      </w:r>
      <w:r w:rsidRPr="00344ED6">
        <w:rPr>
          <w:rFonts w:ascii="Times New Roman" w:eastAsia="Calibri" w:hAnsi="Times New Roman" w:cs="Times New Roman"/>
          <w:sz w:val="24"/>
          <w:szCs w:val="24"/>
          <w:vertAlign w:val="superscript"/>
        </w:rPr>
        <w:footnoteReference w:id="1"/>
      </w:r>
      <w:r w:rsidRPr="00344ED6">
        <w:rPr>
          <w:rFonts w:ascii="Times New Roman" w:eastAsia="Calibri" w:hAnsi="Times New Roman" w:cs="Times New Roman"/>
          <w:sz w:val="24"/>
          <w:szCs w:val="24"/>
          <w:lang w:eastAsia="bg-BG"/>
        </w:rPr>
        <w:t>. Второто производство е образувано на основание чл. 38, ал. 1, т. 1 от ЗЗК, с решение на Комисията по постъпил сигнал от възложител на обществени поръчки, в който са изложени съмнения за забранено споразумение между участници в проведена процедура за възлагане на обществена поръчка. По сигнала е извършено предварително проучване, в резултат на което са установени редица индикатори за наличие на тръжни манипулации, даващи основание на Комисията да се самосезира.</w:t>
      </w:r>
    </w:p>
    <w:p w14:paraId="3EB0536B" w14:textId="77777777" w:rsidR="002052FC" w:rsidRPr="00344ED6" w:rsidRDefault="002052FC" w:rsidP="004E09FD">
      <w:pPr>
        <w:spacing w:after="0" w:line="276" w:lineRule="auto"/>
        <w:ind w:firstLine="709"/>
        <w:jc w:val="both"/>
        <w:rPr>
          <w:rFonts w:ascii="Times New Roman" w:eastAsia="Times New Roman" w:hAnsi="Times New Roman" w:cs="Times New Roman"/>
          <w:color w:val="000000"/>
          <w:sz w:val="24"/>
          <w:szCs w:val="24"/>
          <w:lang w:eastAsia="bg-BG"/>
        </w:rPr>
      </w:pPr>
      <w:r w:rsidRPr="00344ED6">
        <w:rPr>
          <w:rFonts w:ascii="Times New Roman" w:eastAsia="Times New Roman" w:hAnsi="Times New Roman" w:cs="Times New Roman"/>
          <w:color w:val="000000"/>
          <w:sz w:val="24"/>
          <w:szCs w:val="24"/>
          <w:lang w:eastAsia="bg-BG"/>
        </w:rPr>
        <w:t xml:space="preserve">През отчетния период Комисията  </w:t>
      </w:r>
      <w:r w:rsidRPr="00344ED6">
        <w:rPr>
          <w:rFonts w:ascii="Times New Roman" w:eastAsia="Times New Roman" w:hAnsi="Times New Roman" w:cs="Times New Roman"/>
          <w:b/>
          <w:color w:val="000000"/>
          <w:sz w:val="24"/>
          <w:szCs w:val="24"/>
          <w:lang w:eastAsia="bg-BG"/>
        </w:rPr>
        <w:t>постанови</w:t>
      </w:r>
      <w:r w:rsidRPr="00344ED6">
        <w:rPr>
          <w:rFonts w:ascii="Times New Roman" w:eastAsia="Times New Roman" w:hAnsi="Times New Roman" w:cs="Times New Roman"/>
          <w:color w:val="000000"/>
          <w:sz w:val="24"/>
          <w:szCs w:val="24"/>
          <w:lang w:eastAsia="bg-BG"/>
        </w:rPr>
        <w:t xml:space="preserve"> общо </w:t>
      </w:r>
      <w:r w:rsidRPr="00344ED6">
        <w:rPr>
          <w:rFonts w:ascii="Times New Roman" w:eastAsia="Times New Roman" w:hAnsi="Times New Roman" w:cs="Times New Roman"/>
          <w:b/>
          <w:color w:val="000000"/>
          <w:sz w:val="24"/>
          <w:szCs w:val="24"/>
          <w:lang w:eastAsia="bg-BG"/>
        </w:rPr>
        <w:t>5</w:t>
      </w:r>
      <w:r w:rsidRPr="00344ED6">
        <w:rPr>
          <w:rFonts w:ascii="Times New Roman" w:eastAsia="Times New Roman" w:hAnsi="Times New Roman" w:cs="Times New Roman"/>
          <w:color w:val="000000"/>
          <w:sz w:val="24"/>
          <w:szCs w:val="24"/>
          <w:lang w:eastAsia="bg-BG"/>
        </w:rPr>
        <w:t xml:space="preserve"> решения в производства по Глава трета от ЗЗК, едно от които е горепосоченото решение по чл. 38, ал. 1, т. 1 от ЗЗК за образуване на производство. Постановени са също 2 решения, с които на основание чл. 77, ал. 1, т. 1 и т. 2 от ЗЗК Комисията е установила извършени нарушения по чл. 15 от ЗЗК от страна на дистрибутори на детски стоки, изразяващи се в забранени споразумения за определяне на цени на дребно, сключени с техните контрагенти. По-конкретно с решение № 369/08.04.2021 г., Комисията за защита на конкуренцията  наложи имуществена санкция в размер на 434 634 лв. на „СМАРТ СМ“ ООД за извършено нарушение по чл. 15 от ЗЗК, състоящо се в забранено споразумение за определяне на цени на дребно между доставчика на продукти, свързани с отглеждане на бебета и грижа за майката – „СМАРТ СМ“ ООД и контрагентите му, а с решение № 370/08.04.2021 г., Комисията установи нарушения на ЗЗК от страна на „Ивентас“ ЕООД изразяващи се в споразумения с търговците на дребно за определяне на цени към крайните потребители, както и за ограничаване на търговията чрез определяне на различни нива на търговски отстъпки и условия за ползването им, в зависимост от канала на търговия – чрез електронен или физически магазин и наложи имуществена санкция на дружеството в размер на 522 996 лв. И двете решения се обжалват от страните в Административен Съд - София Област.</w:t>
      </w:r>
    </w:p>
    <w:p w14:paraId="0D7D013F" w14:textId="77777777" w:rsidR="002052FC" w:rsidRPr="00344ED6" w:rsidRDefault="002052FC" w:rsidP="004E09FD">
      <w:pPr>
        <w:spacing w:after="0" w:line="276" w:lineRule="auto"/>
        <w:ind w:firstLine="708"/>
        <w:jc w:val="both"/>
        <w:rPr>
          <w:rFonts w:ascii="Times New Roman" w:eastAsia="Times New Roman" w:hAnsi="Times New Roman" w:cs="Times New Roman"/>
          <w:color w:val="000000"/>
          <w:sz w:val="24"/>
          <w:szCs w:val="24"/>
          <w:lang w:eastAsia="bg-BG"/>
        </w:rPr>
      </w:pPr>
      <w:r w:rsidRPr="00344ED6">
        <w:rPr>
          <w:rFonts w:ascii="Times New Roman" w:eastAsia="Times New Roman" w:hAnsi="Times New Roman" w:cs="Times New Roman"/>
          <w:color w:val="000000"/>
          <w:sz w:val="24"/>
          <w:szCs w:val="24"/>
          <w:lang w:eastAsia="bg-BG"/>
        </w:rPr>
        <w:t xml:space="preserve">Постановено е едно решение, с което на основание чл. 74, ал. 1, т. 1 Комисията е установила, че не е извършено нарушение по чл. 15 от ЗЗК и няма основание за </w:t>
      </w:r>
      <w:r w:rsidRPr="00344ED6">
        <w:rPr>
          <w:rFonts w:ascii="Times New Roman" w:eastAsia="Times New Roman" w:hAnsi="Times New Roman" w:cs="Times New Roman"/>
          <w:color w:val="000000"/>
          <w:sz w:val="24"/>
          <w:szCs w:val="24"/>
          <w:lang w:eastAsia="bg-BG"/>
        </w:rPr>
        <w:lastRenderedPageBreak/>
        <w:t>предприемане на действия за извършено нарушение по чл. 101 от ДФЕС</w:t>
      </w:r>
      <w:r w:rsidRPr="00344ED6">
        <w:rPr>
          <w:rFonts w:ascii="Times New Roman" w:eastAsia="Times New Roman" w:hAnsi="Times New Roman" w:cs="Times New Roman"/>
          <w:color w:val="000000"/>
          <w:sz w:val="24"/>
          <w:szCs w:val="24"/>
          <w:vertAlign w:val="superscript"/>
          <w:lang w:eastAsia="bg-BG"/>
        </w:rPr>
        <w:footnoteReference w:id="2"/>
      </w:r>
      <w:r w:rsidRPr="00344ED6">
        <w:rPr>
          <w:rFonts w:ascii="Times New Roman" w:eastAsia="Times New Roman" w:hAnsi="Times New Roman" w:cs="Times New Roman"/>
          <w:color w:val="000000"/>
          <w:sz w:val="24"/>
          <w:szCs w:val="24"/>
          <w:lang w:eastAsia="bg-BG"/>
        </w:rPr>
        <w:t>. Комисията е постановила и едно решение, с което е оставено без уважение искане за възлагане на разноски в производство за установяване на нарушение по Глава Трета от ЗЗК.</w:t>
      </w:r>
    </w:p>
    <w:p w14:paraId="0FA58B68" w14:textId="77777777" w:rsidR="002052FC" w:rsidRPr="00344ED6" w:rsidRDefault="002052FC" w:rsidP="004E09FD">
      <w:pPr>
        <w:spacing w:after="0" w:line="276" w:lineRule="auto"/>
        <w:ind w:firstLine="708"/>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При спазване на правото на страните да бъдат изслушани от Комисията по реда на чл. 76 от ЗЗК, през първото полугодие на 2021г. бяха проведени изслушвания в открити заседания по 4 производства, всичките с предмет установяване на нарушения по чл. 15 от ЗЗК. </w:t>
      </w:r>
    </w:p>
    <w:p w14:paraId="5CE1CD20" w14:textId="381D77B7" w:rsidR="002052FC" w:rsidRPr="00344ED6" w:rsidRDefault="002052FC" w:rsidP="004E09FD">
      <w:pPr>
        <w:spacing w:after="0" w:line="276" w:lineRule="auto"/>
        <w:ind w:firstLine="708"/>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През отчетния период са получени </w:t>
      </w:r>
      <w:r w:rsidRPr="00344ED6">
        <w:rPr>
          <w:rFonts w:ascii="Times New Roman" w:eastAsia="Times New Roman" w:hAnsi="Times New Roman" w:cs="Times New Roman"/>
          <w:b/>
          <w:sz w:val="24"/>
          <w:szCs w:val="24"/>
          <w:lang w:eastAsia="bg-BG"/>
        </w:rPr>
        <w:t>14</w:t>
      </w:r>
      <w:r w:rsidRPr="00344ED6">
        <w:rPr>
          <w:rFonts w:ascii="Times New Roman" w:eastAsia="Times New Roman" w:hAnsi="Times New Roman" w:cs="Times New Roman"/>
          <w:sz w:val="24"/>
          <w:szCs w:val="24"/>
          <w:lang w:eastAsia="bg-BG"/>
        </w:rPr>
        <w:t xml:space="preserve"> сигнала, съдържащи твърдения за извършени нарушения по чл. 15 от ЗЗК, с които експертите от отдел „Антитръст“ се запознаха, извършиха допълнителни предварителни проучвания в някои от случаите и изготвиха отговори до подателите на сигналите. </w:t>
      </w:r>
    </w:p>
    <w:p w14:paraId="5D8668AB" w14:textId="77777777" w:rsidR="000C658C" w:rsidRPr="00344ED6" w:rsidRDefault="000C658C" w:rsidP="004E09FD">
      <w:pPr>
        <w:spacing w:after="0" w:line="276" w:lineRule="auto"/>
        <w:ind w:firstLine="708"/>
        <w:jc w:val="both"/>
        <w:rPr>
          <w:rFonts w:ascii="Times New Roman" w:eastAsia="Times New Roman" w:hAnsi="Times New Roman" w:cs="Times New Roman"/>
          <w:sz w:val="24"/>
          <w:szCs w:val="24"/>
          <w:lang w:eastAsia="bg-BG"/>
        </w:rPr>
      </w:pPr>
    </w:p>
    <w:p w14:paraId="5D87353E" w14:textId="4562406F" w:rsidR="002052FC" w:rsidRPr="00344ED6" w:rsidRDefault="000C658C" w:rsidP="004E09FD">
      <w:pPr>
        <w:numPr>
          <w:ilvl w:val="0"/>
          <w:numId w:val="16"/>
        </w:numPr>
        <w:spacing w:after="0" w:line="276" w:lineRule="auto"/>
        <w:ind w:left="1134" w:hanging="425"/>
        <w:rPr>
          <w:rFonts w:ascii="Times New Roman" w:hAnsi="Times New Roman" w:cs="Times New Roman"/>
          <w:b/>
          <w:sz w:val="24"/>
          <w:szCs w:val="24"/>
        </w:rPr>
      </w:pPr>
      <w:r w:rsidRPr="00344ED6">
        <w:rPr>
          <w:rFonts w:ascii="Times New Roman" w:hAnsi="Times New Roman" w:cs="Times New Roman"/>
          <w:b/>
          <w:sz w:val="24"/>
          <w:szCs w:val="24"/>
        </w:rPr>
        <w:t xml:space="preserve">Злоупотреба с господстващо положение (Глава </w:t>
      </w:r>
      <w:r w:rsidRPr="00344ED6">
        <w:rPr>
          <w:rFonts w:ascii="Times New Roman" w:hAnsi="Times New Roman" w:cs="Times New Roman"/>
          <w:b/>
          <w:sz w:val="24"/>
          <w:szCs w:val="24"/>
          <w:lang w:val="en-US"/>
        </w:rPr>
        <w:t>IV</w:t>
      </w:r>
      <w:r w:rsidRPr="00344ED6">
        <w:rPr>
          <w:rFonts w:ascii="Times New Roman" w:hAnsi="Times New Roman" w:cs="Times New Roman"/>
          <w:b/>
          <w:sz w:val="24"/>
          <w:szCs w:val="24"/>
        </w:rPr>
        <w:t xml:space="preserve"> от ЗЗК)</w:t>
      </w:r>
    </w:p>
    <w:p w14:paraId="07D01213" w14:textId="77777777" w:rsidR="002052FC" w:rsidRPr="00344ED6" w:rsidRDefault="002052FC" w:rsidP="004E09FD">
      <w:pPr>
        <w:spacing w:after="0" w:line="276" w:lineRule="auto"/>
        <w:ind w:firstLine="709"/>
        <w:jc w:val="both"/>
        <w:rPr>
          <w:rFonts w:ascii="Times New Roman" w:hAnsi="Times New Roman" w:cs="Times New Roman"/>
          <w:sz w:val="24"/>
          <w:szCs w:val="24"/>
        </w:rPr>
      </w:pPr>
      <w:r w:rsidRPr="00344ED6">
        <w:rPr>
          <w:rFonts w:ascii="Times New Roman" w:eastAsia="Times New Roman" w:hAnsi="Times New Roman" w:cs="Times New Roman"/>
          <w:sz w:val="24"/>
          <w:szCs w:val="24"/>
          <w:lang w:eastAsia="bg-BG"/>
        </w:rPr>
        <w:t xml:space="preserve">През първото полугодие на 2021 г. Комисията </w:t>
      </w:r>
      <w:r w:rsidRPr="00344ED6">
        <w:rPr>
          <w:rFonts w:ascii="Times New Roman" w:eastAsia="Times New Roman" w:hAnsi="Times New Roman" w:cs="Times New Roman"/>
          <w:b/>
          <w:sz w:val="24"/>
          <w:szCs w:val="24"/>
          <w:lang w:eastAsia="bg-BG"/>
        </w:rPr>
        <w:t>образува</w:t>
      </w:r>
      <w:r w:rsidRPr="00344ED6">
        <w:rPr>
          <w:rFonts w:ascii="Times New Roman" w:eastAsia="Times New Roman" w:hAnsi="Times New Roman" w:cs="Times New Roman"/>
          <w:sz w:val="24"/>
          <w:szCs w:val="24"/>
          <w:lang w:eastAsia="bg-BG"/>
        </w:rPr>
        <w:t xml:space="preserve"> общо</w:t>
      </w:r>
      <w:r w:rsidRPr="00344ED6">
        <w:rPr>
          <w:rFonts w:ascii="Times New Roman" w:eastAsia="Times New Roman" w:hAnsi="Times New Roman" w:cs="Times New Roman"/>
          <w:sz w:val="24"/>
          <w:szCs w:val="24"/>
          <w:lang w:val="en-US" w:eastAsia="bg-BG"/>
        </w:rPr>
        <w:t xml:space="preserve"> </w:t>
      </w:r>
      <w:r w:rsidRPr="00344ED6">
        <w:rPr>
          <w:rFonts w:ascii="Times New Roman" w:eastAsia="Times New Roman" w:hAnsi="Times New Roman" w:cs="Times New Roman"/>
          <w:b/>
          <w:sz w:val="24"/>
          <w:szCs w:val="24"/>
          <w:lang w:eastAsia="bg-BG"/>
        </w:rPr>
        <w:t>3</w:t>
      </w:r>
      <w:r w:rsidRPr="00344ED6">
        <w:rPr>
          <w:rFonts w:ascii="Times New Roman" w:eastAsia="Times New Roman" w:hAnsi="Times New Roman" w:cs="Times New Roman"/>
          <w:b/>
          <w:sz w:val="24"/>
          <w:szCs w:val="24"/>
          <w:lang w:val="en-US" w:eastAsia="bg-BG"/>
        </w:rPr>
        <w:t xml:space="preserve"> </w:t>
      </w:r>
      <w:r w:rsidRPr="00344ED6">
        <w:rPr>
          <w:rFonts w:ascii="Times New Roman" w:eastAsia="Times New Roman" w:hAnsi="Times New Roman" w:cs="Times New Roman"/>
          <w:sz w:val="24"/>
          <w:szCs w:val="24"/>
          <w:lang w:eastAsia="bg-BG"/>
        </w:rPr>
        <w:t>производства</w:t>
      </w:r>
      <w:r w:rsidRPr="00344ED6">
        <w:rPr>
          <w:sz w:val="24"/>
          <w:szCs w:val="24"/>
        </w:rPr>
        <w:t xml:space="preserve"> </w:t>
      </w:r>
      <w:r w:rsidRPr="00344ED6">
        <w:rPr>
          <w:rFonts w:ascii="Times New Roman" w:eastAsia="Times New Roman" w:hAnsi="Times New Roman" w:cs="Times New Roman"/>
          <w:sz w:val="24"/>
          <w:szCs w:val="24"/>
          <w:lang w:eastAsia="bg-BG"/>
        </w:rPr>
        <w:t>с предмет установяване наличието или липсата на извършени нарушения по Глава четвърта „Злоупотреба с монополно или господстващо положение“ от ЗЗК, като</w:t>
      </w:r>
      <w:r w:rsidRPr="00344ED6">
        <w:rPr>
          <w:rFonts w:ascii="Times New Roman" w:eastAsia="Times New Roman" w:hAnsi="Times New Roman" w:cs="Times New Roman"/>
          <w:sz w:val="24"/>
          <w:szCs w:val="24"/>
          <w:lang w:val="en-US" w:eastAsia="bg-BG"/>
        </w:rPr>
        <w:t xml:space="preserve"> </w:t>
      </w:r>
      <w:r w:rsidRPr="00344ED6">
        <w:rPr>
          <w:rFonts w:ascii="Times New Roman" w:eastAsia="Times New Roman" w:hAnsi="Times New Roman" w:cs="Times New Roman"/>
          <w:sz w:val="24"/>
          <w:szCs w:val="24"/>
          <w:lang w:eastAsia="bg-BG"/>
        </w:rPr>
        <w:t>две от тях са образувани по искане на лицата, чиито интереси са засегнати или застрашени от нарушение на ЗЗК</w:t>
      </w:r>
      <w:r w:rsidRPr="00344ED6">
        <w:rPr>
          <w:rFonts w:ascii="Times New Roman" w:eastAsia="Times New Roman" w:hAnsi="Times New Roman" w:cs="Times New Roman"/>
          <w:sz w:val="24"/>
          <w:szCs w:val="24"/>
          <w:vertAlign w:val="superscript"/>
          <w:lang w:eastAsia="bg-BG"/>
        </w:rPr>
        <w:footnoteReference w:id="3"/>
      </w:r>
      <w:r w:rsidRPr="00344ED6">
        <w:rPr>
          <w:rFonts w:ascii="Times New Roman" w:eastAsia="Times New Roman" w:hAnsi="Times New Roman" w:cs="Times New Roman"/>
          <w:sz w:val="24"/>
          <w:szCs w:val="24"/>
          <w:lang w:eastAsia="bg-BG"/>
        </w:rPr>
        <w:t xml:space="preserve"> в секторите на товарния железопътен транспорт и електроенергетиката. Третото производство е образувано по решение на Комисията на основание чл. 38, ал. 1, т. 1 от ЗЗК.</w:t>
      </w:r>
      <w:r w:rsidRPr="00344ED6">
        <w:rPr>
          <w:rFonts w:ascii="Times New Roman" w:hAnsi="Times New Roman" w:cs="Times New Roman"/>
          <w:sz w:val="24"/>
          <w:szCs w:val="24"/>
        </w:rPr>
        <w:t xml:space="preserve"> Повод за самосезирането е сигнал от гражданин срещу поведението на дружество, извършващо ВиК услуги. По сигнала е извършено предварително проучване, като е събрана допълнителна информация от лицето, както и становища и информация от държавни органи и ответното дружество. Въз основа на събраните доказателства Комисията е преценила, че съществуват достатъчно индикации, водещи до съмнения за извършена злоупотреба с господстващо положение, поради което е образувала производство по Глава четвърта от ЗЗК.</w:t>
      </w:r>
    </w:p>
    <w:p w14:paraId="54520990" w14:textId="77777777" w:rsidR="002052FC" w:rsidRPr="00344ED6" w:rsidRDefault="002052FC" w:rsidP="004E09FD">
      <w:pPr>
        <w:spacing w:after="0" w:line="276" w:lineRule="auto"/>
        <w:ind w:firstLine="709"/>
        <w:jc w:val="both"/>
        <w:rPr>
          <w:rFonts w:ascii="Times New Roman" w:hAnsi="Times New Roman" w:cs="Times New Roman"/>
          <w:b/>
          <w:sz w:val="24"/>
          <w:szCs w:val="24"/>
        </w:rPr>
      </w:pPr>
      <w:r w:rsidRPr="00344ED6">
        <w:rPr>
          <w:rFonts w:ascii="Times New Roman" w:hAnsi="Times New Roman" w:cs="Times New Roman"/>
          <w:sz w:val="24"/>
          <w:szCs w:val="24"/>
        </w:rPr>
        <w:t xml:space="preserve">По така образуваните производства експертите на Комисията извършиха редица процесуални действия в изпълнение на законоустановените </w:t>
      </w:r>
      <w:r w:rsidRPr="00344ED6">
        <w:rPr>
          <w:rFonts w:ascii="Times New Roman" w:eastAsia="Calibri" w:hAnsi="Times New Roman" w:cs="Times New Roman"/>
          <w:sz w:val="24"/>
          <w:szCs w:val="24"/>
          <w:lang w:eastAsia="bg-BG"/>
        </w:rPr>
        <w:t>правомощия на КЗК по събиране на информация</w:t>
      </w:r>
      <w:r w:rsidRPr="00344ED6">
        <w:rPr>
          <w:rFonts w:ascii="Times New Roman" w:eastAsia="Times New Roman" w:hAnsi="Times New Roman" w:cs="Times New Roman"/>
          <w:color w:val="000000"/>
          <w:sz w:val="24"/>
          <w:szCs w:val="24"/>
          <w:lang w:eastAsia="bg-BG"/>
        </w:rPr>
        <w:t xml:space="preserve"> при извършване на проучванията и </w:t>
      </w:r>
      <w:r w:rsidRPr="00344ED6">
        <w:rPr>
          <w:rFonts w:ascii="Times New Roman" w:hAnsi="Times New Roman" w:cs="Times New Roman"/>
          <w:sz w:val="24"/>
          <w:szCs w:val="24"/>
        </w:rPr>
        <w:t>изискаха писмени и електронни доказателства от страните в производствата, други предприятия, държавни органи и органи на местното самоуправление. Предстои фактически и правен анализ на събраната документация.</w:t>
      </w:r>
    </w:p>
    <w:p w14:paraId="6A45CF06" w14:textId="77777777" w:rsidR="002052FC" w:rsidRPr="00344ED6" w:rsidRDefault="002052FC" w:rsidP="004E09FD">
      <w:pPr>
        <w:spacing w:after="0" w:line="276" w:lineRule="auto"/>
        <w:ind w:firstLine="708"/>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През отчетния период Комисията </w:t>
      </w:r>
      <w:r w:rsidRPr="00344ED6">
        <w:rPr>
          <w:rFonts w:ascii="Times New Roman" w:eastAsia="Times New Roman" w:hAnsi="Times New Roman" w:cs="Times New Roman"/>
          <w:b/>
          <w:sz w:val="24"/>
          <w:szCs w:val="24"/>
          <w:lang w:eastAsia="bg-BG"/>
        </w:rPr>
        <w:t>постанови</w:t>
      </w:r>
      <w:r w:rsidRPr="00344ED6">
        <w:rPr>
          <w:rFonts w:ascii="Times New Roman" w:eastAsia="Times New Roman" w:hAnsi="Times New Roman" w:cs="Times New Roman"/>
          <w:sz w:val="24"/>
          <w:szCs w:val="24"/>
          <w:lang w:eastAsia="bg-BG"/>
        </w:rPr>
        <w:t xml:space="preserve"> </w:t>
      </w:r>
      <w:r w:rsidRPr="00344ED6">
        <w:rPr>
          <w:rFonts w:ascii="Times New Roman" w:eastAsia="Times New Roman" w:hAnsi="Times New Roman" w:cs="Times New Roman"/>
          <w:b/>
          <w:sz w:val="24"/>
          <w:szCs w:val="24"/>
          <w:lang w:eastAsia="bg-BG"/>
        </w:rPr>
        <w:t>2</w:t>
      </w:r>
      <w:r w:rsidRPr="00344ED6">
        <w:rPr>
          <w:rFonts w:ascii="Times New Roman" w:eastAsia="Times New Roman" w:hAnsi="Times New Roman" w:cs="Times New Roman"/>
          <w:sz w:val="24"/>
          <w:szCs w:val="24"/>
          <w:lang w:eastAsia="bg-BG"/>
        </w:rPr>
        <w:t xml:space="preserve"> решения</w:t>
      </w:r>
      <w:r w:rsidRPr="00344ED6">
        <w:rPr>
          <w:sz w:val="24"/>
          <w:szCs w:val="24"/>
        </w:rPr>
        <w:t xml:space="preserve"> </w:t>
      </w:r>
      <w:r w:rsidRPr="00344ED6">
        <w:rPr>
          <w:rFonts w:ascii="Times New Roman" w:eastAsia="Times New Roman" w:hAnsi="Times New Roman" w:cs="Times New Roman"/>
          <w:sz w:val="24"/>
          <w:szCs w:val="24"/>
          <w:lang w:eastAsia="bg-BG"/>
        </w:rPr>
        <w:t>в производства по Глава четвърта от ЗЗК, едно от които е горепосоченото решение по чл. 38, ал. 1, т. 1 от ЗЗК за образуване на производство. С другото решение, на основание чл. 74, ал. 1, т. 1 Комисията е установила, че не е извършено нарушение по чл. 21 от ЗЗК</w:t>
      </w:r>
      <w:r w:rsidRPr="00344ED6">
        <w:rPr>
          <w:sz w:val="24"/>
          <w:szCs w:val="24"/>
        </w:rPr>
        <w:t xml:space="preserve"> </w:t>
      </w:r>
      <w:r w:rsidRPr="00344ED6">
        <w:rPr>
          <w:rFonts w:ascii="Times New Roman" w:eastAsia="Times New Roman" w:hAnsi="Times New Roman" w:cs="Times New Roman"/>
          <w:sz w:val="24"/>
          <w:szCs w:val="24"/>
          <w:lang w:eastAsia="bg-BG"/>
        </w:rPr>
        <w:t>и че няма основание за предприемане на действия за извършено нарушение по чл. 102 от ДФЕС</w:t>
      </w:r>
      <w:r w:rsidRPr="00344ED6">
        <w:rPr>
          <w:rFonts w:ascii="Times New Roman" w:eastAsia="Times New Roman" w:hAnsi="Times New Roman" w:cs="Times New Roman"/>
          <w:sz w:val="24"/>
          <w:szCs w:val="24"/>
          <w:vertAlign w:val="superscript"/>
          <w:lang w:eastAsia="bg-BG"/>
        </w:rPr>
        <w:footnoteReference w:id="4"/>
      </w:r>
      <w:r w:rsidRPr="00344ED6">
        <w:rPr>
          <w:rFonts w:ascii="Times New Roman" w:eastAsia="Times New Roman" w:hAnsi="Times New Roman" w:cs="Times New Roman"/>
          <w:sz w:val="24"/>
          <w:szCs w:val="24"/>
          <w:lang w:eastAsia="bg-BG"/>
        </w:rPr>
        <w:t>.</w:t>
      </w:r>
    </w:p>
    <w:p w14:paraId="132400BC" w14:textId="77777777" w:rsidR="002052FC" w:rsidRPr="00344ED6" w:rsidRDefault="002052FC" w:rsidP="004E09FD">
      <w:pPr>
        <w:spacing w:after="0" w:line="276" w:lineRule="auto"/>
        <w:ind w:firstLine="708"/>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lastRenderedPageBreak/>
        <w:t xml:space="preserve">През първото полугодие на 2021г. са получени </w:t>
      </w:r>
      <w:r w:rsidRPr="00344ED6">
        <w:rPr>
          <w:rFonts w:ascii="Times New Roman" w:eastAsia="Times New Roman" w:hAnsi="Times New Roman" w:cs="Times New Roman"/>
          <w:b/>
          <w:sz w:val="24"/>
          <w:szCs w:val="24"/>
          <w:lang w:eastAsia="bg-BG"/>
        </w:rPr>
        <w:t>15</w:t>
      </w:r>
      <w:r w:rsidRPr="00344ED6">
        <w:rPr>
          <w:rFonts w:ascii="Times New Roman" w:eastAsia="Times New Roman" w:hAnsi="Times New Roman" w:cs="Times New Roman"/>
          <w:sz w:val="24"/>
          <w:szCs w:val="24"/>
          <w:lang w:eastAsia="bg-BG"/>
        </w:rPr>
        <w:t xml:space="preserve"> сигнала, съдържащи твърдения за извършени нарушения по чл. 21 от ЗЗК, които бяха проучени и на подателите на сигналите е изпратен отговор.  </w:t>
      </w:r>
    </w:p>
    <w:p w14:paraId="306937CE" w14:textId="77777777" w:rsidR="002052FC" w:rsidRPr="00344ED6" w:rsidRDefault="002052FC" w:rsidP="004E09FD">
      <w:pPr>
        <w:spacing w:after="0" w:line="276" w:lineRule="auto"/>
        <w:ind w:firstLine="708"/>
        <w:jc w:val="both"/>
        <w:rPr>
          <w:rFonts w:ascii="Times New Roman" w:eastAsia="Times New Roman" w:hAnsi="Times New Roman" w:cs="Times New Roman"/>
          <w:sz w:val="24"/>
          <w:szCs w:val="24"/>
          <w:lang w:eastAsia="bg-BG"/>
        </w:rPr>
      </w:pPr>
      <w:r w:rsidRPr="00344ED6">
        <w:rPr>
          <w:rFonts w:ascii="Times New Roman" w:eastAsia="Calibri" w:hAnsi="Times New Roman" w:cs="Times New Roman"/>
          <w:sz w:val="24"/>
          <w:szCs w:val="24"/>
          <w:lang w:eastAsia="bg-BG"/>
        </w:rPr>
        <w:t>През първото полугодие на 2021 г., с решения по чл. 77, ал. 1, т. 1 и 2 от ЗЗК, Комисията наложи две санкции за извършени нарушения по чл. 15 от ЗЗК, в общ размер от  957 630 лв.</w:t>
      </w:r>
    </w:p>
    <w:p w14:paraId="4F8EAD4E" w14:textId="77777777" w:rsidR="002052FC" w:rsidRPr="00344ED6" w:rsidRDefault="002052FC" w:rsidP="004E09FD">
      <w:pPr>
        <w:spacing w:after="0" w:line="276" w:lineRule="auto"/>
        <w:ind w:firstLine="708"/>
        <w:jc w:val="both"/>
        <w:rPr>
          <w:rFonts w:ascii="Times New Roman" w:eastAsia="Times New Roman" w:hAnsi="Times New Roman" w:cs="Times New Roman"/>
          <w:b/>
          <w:sz w:val="24"/>
          <w:szCs w:val="24"/>
          <w:lang w:eastAsia="bg-BG"/>
        </w:rPr>
      </w:pPr>
    </w:p>
    <w:p w14:paraId="39CAED47" w14:textId="77777777" w:rsidR="000C658C" w:rsidRPr="00344ED6" w:rsidRDefault="000C658C" w:rsidP="004E09FD">
      <w:pPr>
        <w:numPr>
          <w:ilvl w:val="0"/>
          <w:numId w:val="15"/>
        </w:numPr>
        <w:spacing w:after="0" w:line="276" w:lineRule="auto"/>
        <w:ind w:left="1134" w:hanging="425"/>
        <w:jc w:val="both"/>
        <w:rPr>
          <w:rFonts w:ascii="Times New Roman" w:eastAsia="Times New Roman" w:hAnsi="Times New Roman" w:cs="Times New Roman"/>
          <w:b/>
          <w:sz w:val="24"/>
          <w:szCs w:val="24"/>
          <w:lang w:eastAsia="bg-BG"/>
        </w:rPr>
      </w:pPr>
      <w:r w:rsidRPr="00344ED6">
        <w:rPr>
          <w:rFonts w:ascii="Times New Roman" w:eastAsia="Times New Roman" w:hAnsi="Times New Roman" w:cs="Times New Roman"/>
          <w:b/>
          <w:sz w:val="24"/>
          <w:szCs w:val="24"/>
          <w:lang w:eastAsia="bg-BG"/>
        </w:rPr>
        <w:t xml:space="preserve">Други дейности свързани с правоприлагането по Глава </w:t>
      </w:r>
      <w:r w:rsidRPr="00344ED6">
        <w:rPr>
          <w:rFonts w:ascii="Times New Roman" w:hAnsi="Times New Roman" w:cs="Times New Roman"/>
          <w:b/>
          <w:sz w:val="24"/>
          <w:szCs w:val="24"/>
        </w:rPr>
        <w:t>ІІ</w:t>
      </w:r>
      <w:r w:rsidRPr="00344ED6">
        <w:rPr>
          <w:rFonts w:ascii="Times New Roman" w:hAnsi="Times New Roman" w:cs="Times New Roman"/>
          <w:b/>
          <w:sz w:val="24"/>
          <w:szCs w:val="24"/>
          <w:lang w:val="en-US"/>
        </w:rPr>
        <w:t>I</w:t>
      </w:r>
      <w:r w:rsidRPr="00344ED6">
        <w:rPr>
          <w:rFonts w:ascii="Times New Roman" w:hAnsi="Times New Roman" w:cs="Times New Roman"/>
          <w:b/>
          <w:sz w:val="24"/>
          <w:szCs w:val="24"/>
        </w:rPr>
        <w:t xml:space="preserve"> и по Глава </w:t>
      </w:r>
      <w:r w:rsidRPr="00344ED6">
        <w:rPr>
          <w:rFonts w:ascii="Times New Roman" w:hAnsi="Times New Roman" w:cs="Times New Roman"/>
          <w:b/>
          <w:sz w:val="24"/>
          <w:szCs w:val="24"/>
          <w:lang w:val="en-US"/>
        </w:rPr>
        <w:t>I</w:t>
      </w:r>
      <w:r w:rsidRPr="00344ED6">
        <w:rPr>
          <w:rFonts w:ascii="Times New Roman" w:hAnsi="Times New Roman" w:cs="Times New Roman"/>
          <w:b/>
          <w:sz w:val="24"/>
          <w:szCs w:val="24"/>
        </w:rPr>
        <w:t xml:space="preserve">V от </w:t>
      </w:r>
      <w:r w:rsidRPr="00344ED6">
        <w:rPr>
          <w:rFonts w:ascii="Times New Roman" w:eastAsia="Times New Roman" w:hAnsi="Times New Roman" w:cs="Times New Roman"/>
          <w:b/>
          <w:sz w:val="24"/>
          <w:szCs w:val="24"/>
          <w:lang w:eastAsia="bg-BG"/>
        </w:rPr>
        <w:t>ЗЗК</w:t>
      </w:r>
    </w:p>
    <w:p w14:paraId="79382FFF" w14:textId="77777777" w:rsidR="002052FC" w:rsidRPr="00344ED6" w:rsidRDefault="002052FC" w:rsidP="004E09FD">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С Решение № 636/17.06.2021 г., на основание чл. 60, ал. 1, т. 24 от ЗЗК, във връзка с чл. 71, ал. 2 от ЗЗК Комисията прие нов Образец на искане по чл. 71 от ЗЗК: </w:t>
      </w:r>
      <w:r w:rsidRPr="00344ED6">
        <w:rPr>
          <w:rFonts w:ascii="Times New Roman" w:eastAsia="Times New Roman" w:hAnsi="Times New Roman" w:cs="Times New Roman"/>
          <w:i/>
          <w:sz w:val="24"/>
          <w:szCs w:val="24"/>
          <w:lang w:eastAsia="bg-BG"/>
        </w:rPr>
        <w:t>„Форма искане за установяване на антитръстови нарушения“</w:t>
      </w:r>
      <w:r w:rsidRPr="00344ED6">
        <w:rPr>
          <w:rFonts w:ascii="Times New Roman" w:eastAsia="Times New Roman" w:hAnsi="Times New Roman" w:cs="Times New Roman"/>
          <w:sz w:val="24"/>
          <w:szCs w:val="24"/>
          <w:lang w:eastAsia="bg-BG"/>
        </w:rPr>
        <w:t>. Приемането на изцяло нов образец бе продиктувано от настъпилите промени в правната уредба както на национално, така и на европейско ниво, което наложи  актуализиране на нормативните текстове, посочени в образеца. Практиката на Комисията по прилагане на антитръстовите забрани през последните повече от десет години показа необходимост от добавяне на данни в искането, които да улеснят правилното определяне на съответния пазар. От друга страна се наблюдава, че включената в образеца информация за ефекта на твърдяното нарушение върху търговията между държавите членки не подпомага Комисията при оценката за приложимостта на чл. 101 и чл. 102 от ДФЕС, поради което същата отпада от образеца. Новият образец е публикуван на интернет страницата на КЗК.</w:t>
      </w:r>
    </w:p>
    <w:p w14:paraId="7B9644BE" w14:textId="19CD681F" w:rsidR="002052FC" w:rsidRPr="00344ED6" w:rsidRDefault="002052FC" w:rsidP="004E09FD">
      <w:pPr>
        <w:spacing w:after="0" w:line="276" w:lineRule="auto"/>
        <w:ind w:firstLine="708"/>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Със Закона за изменение и допълнение на ЗЗК, обн. ДВ, бр.17 от 26 февруари 2021 г. се въведоха редица изменения в процесуалните правила на про</w:t>
      </w:r>
      <w:r w:rsidR="000461A0">
        <w:rPr>
          <w:rFonts w:ascii="Times New Roman" w:eastAsia="Times New Roman" w:hAnsi="Times New Roman" w:cs="Times New Roman"/>
          <w:sz w:val="24"/>
          <w:szCs w:val="24"/>
          <w:lang w:eastAsia="bg-BG"/>
        </w:rPr>
        <w:t>изводствата по Глава Девета от З</w:t>
      </w:r>
      <w:r w:rsidRPr="00344ED6">
        <w:rPr>
          <w:rFonts w:ascii="Times New Roman" w:eastAsia="Times New Roman" w:hAnsi="Times New Roman" w:cs="Times New Roman"/>
          <w:sz w:val="24"/>
          <w:szCs w:val="24"/>
          <w:lang w:eastAsia="bg-BG"/>
        </w:rPr>
        <w:t>акон</w:t>
      </w:r>
      <w:r w:rsidR="000461A0">
        <w:rPr>
          <w:rFonts w:ascii="Times New Roman" w:eastAsia="Times New Roman" w:hAnsi="Times New Roman" w:cs="Times New Roman"/>
          <w:sz w:val="24"/>
          <w:szCs w:val="24"/>
          <w:lang w:eastAsia="bg-BG"/>
        </w:rPr>
        <w:t>а</w:t>
      </w:r>
      <w:r w:rsidRPr="00344ED6">
        <w:rPr>
          <w:rFonts w:ascii="Times New Roman" w:eastAsia="Times New Roman" w:hAnsi="Times New Roman" w:cs="Times New Roman"/>
          <w:sz w:val="24"/>
          <w:szCs w:val="24"/>
          <w:lang w:eastAsia="bg-BG"/>
        </w:rPr>
        <w:t xml:space="preserve">. Един от новите институти е провеждането на т.нар. пазарен тест при процедурите за поемане на задължения от ответната страна (чл. 75 от ЗЗК), при който се събират и анализират становищата на пазарните участници по предложените от ответното предприятие задължения. В изпълнение на новия режим, въведен в чл. 75, ал. 3 от ЗЗК, Комисията извърши пазарен тест в производство за установяване на нарушение по чл. 15 от ЗЗК, като публикува в регистъра обобщение на предложените задължения и предостави срок за изпращане на становища. </w:t>
      </w:r>
    </w:p>
    <w:p w14:paraId="4ED817A5" w14:textId="76C54E2A" w:rsidR="002052FC" w:rsidRPr="00344ED6" w:rsidRDefault="002052FC" w:rsidP="004E09FD">
      <w:pPr>
        <w:spacing w:after="0" w:line="276" w:lineRule="auto"/>
        <w:ind w:firstLine="708"/>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В изпълнение на един от основните приоритети в антитръстовото правоприлагане през последните години, вкл. 2021г., експертите от отдел </w:t>
      </w:r>
      <w:r w:rsidR="000461A0">
        <w:rPr>
          <w:rFonts w:ascii="Times New Roman" w:eastAsia="Times New Roman" w:hAnsi="Times New Roman" w:cs="Times New Roman"/>
          <w:sz w:val="24"/>
          <w:szCs w:val="24"/>
          <w:lang w:eastAsia="bg-BG"/>
        </w:rPr>
        <w:t xml:space="preserve">„Антитръст“ </w:t>
      </w:r>
      <w:r w:rsidRPr="00344ED6">
        <w:rPr>
          <w:rFonts w:ascii="Times New Roman" w:eastAsia="Times New Roman" w:hAnsi="Times New Roman" w:cs="Times New Roman"/>
          <w:sz w:val="24"/>
          <w:szCs w:val="24"/>
          <w:lang w:eastAsia="bg-BG"/>
        </w:rPr>
        <w:t xml:space="preserve">продължават активно да проучват сигнали на възложители за възможни тръжни манипулации. В рамките на предварителните проучвания по всеки сигнал се събира пълната документация по съответната процедура, както и друга релевантна информация от възложителите, от Централизирана автоматична информационна система, Регистъра на АОП, профила на купувача в страницата на възложителя, търговския регистър. В случаите, в които е възможно, се извършва скрининг - статистически метод за откриване на индикатори за тръжни манипулации. Когато в резултат на предварителното проучване се съберат достатъчно индикатори, обосноваващи съмнение за извършено нарушение по чл. 15 от ЗЗК, се подготвя решение за образуване на производство. </w:t>
      </w:r>
    </w:p>
    <w:p w14:paraId="53100110" w14:textId="1493199C" w:rsidR="002052FC" w:rsidRPr="00344ED6" w:rsidDel="00C62061" w:rsidRDefault="002052FC" w:rsidP="004E09FD">
      <w:pPr>
        <w:spacing w:after="0" w:line="276" w:lineRule="auto"/>
        <w:ind w:firstLine="709"/>
        <w:jc w:val="both"/>
        <w:rPr>
          <w:rFonts w:ascii="Times New Roman" w:eastAsia="Times New Roman" w:hAnsi="Times New Roman" w:cs="Times New Roman"/>
          <w:sz w:val="24"/>
          <w:szCs w:val="24"/>
          <w:lang w:eastAsia="bg-BG"/>
        </w:rPr>
      </w:pPr>
      <w:r w:rsidRPr="00344ED6" w:rsidDel="00C62061">
        <w:rPr>
          <w:rFonts w:ascii="Times New Roman" w:eastAsia="Times New Roman" w:hAnsi="Times New Roman" w:cs="Times New Roman"/>
          <w:sz w:val="24"/>
          <w:szCs w:val="24"/>
          <w:lang w:eastAsia="bg-BG"/>
        </w:rPr>
        <w:lastRenderedPageBreak/>
        <w:t xml:space="preserve">Общо през първото полугодие на 2021г. в отдел </w:t>
      </w:r>
      <w:r w:rsidR="000461A0">
        <w:rPr>
          <w:rFonts w:ascii="Times New Roman" w:eastAsia="Times New Roman" w:hAnsi="Times New Roman" w:cs="Times New Roman"/>
          <w:sz w:val="24"/>
          <w:szCs w:val="24"/>
          <w:lang w:eastAsia="bg-BG"/>
        </w:rPr>
        <w:t>„</w:t>
      </w:r>
      <w:r w:rsidRPr="00344ED6" w:rsidDel="00C62061">
        <w:rPr>
          <w:rFonts w:ascii="Times New Roman" w:eastAsia="Times New Roman" w:hAnsi="Times New Roman" w:cs="Times New Roman"/>
          <w:sz w:val="24"/>
          <w:szCs w:val="24"/>
          <w:lang w:eastAsia="bg-BG"/>
        </w:rPr>
        <w:t>Антитръст</w:t>
      </w:r>
      <w:r w:rsidR="000461A0">
        <w:rPr>
          <w:rFonts w:ascii="Times New Roman" w:eastAsia="Times New Roman" w:hAnsi="Times New Roman" w:cs="Times New Roman"/>
          <w:sz w:val="24"/>
          <w:szCs w:val="24"/>
          <w:lang w:eastAsia="bg-BG"/>
        </w:rPr>
        <w:t>“</w:t>
      </w:r>
      <w:r w:rsidRPr="00344ED6" w:rsidDel="00C62061">
        <w:rPr>
          <w:rFonts w:ascii="Times New Roman" w:eastAsia="Times New Roman" w:hAnsi="Times New Roman" w:cs="Times New Roman"/>
          <w:sz w:val="24"/>
          <w:szCs w:val="24"/>
          <w:lang w:eastAsia="bg-BG"/>
        </w:rPr>
        <w:t xml:space="preserve"> са обработени 29 сигнала, по един от които е образувано производство за установяване на извършено нарушение по чл. 15 от ЗЗК.</w:t>
      </w:r>
    </w:p>
    <w:p w14:paraId="05C560D1" w14:textId="77777777" w:rsidR="000C658C" w:rsidRPr="00344ED6" w:rsidRDefault="002052FC" w:rsidP="004E09FD">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   </w:t>
      </w:r>
    </w:p>
    <w:p w14:paraId="7AF59D39" w14:textId="4F942E0C" w:rsidR="002052FC" w:rsidRPr="00344ED6" w:rsidRDefault="002052FC" w:rsidP="004E09FD">
      <w:pPr>
        <w:pStyle w:val="ListParagraph"/>
        <w:numPr>
          <w:ilvl w:val="0"/>
          <w:numId w:val="15"/>
        </w:numPr>
        <w:spacing w:line="276" w:lineRule="auto"/>
        <w:ind w:left="1134" w:hanging="425"/>
        <w:jc w:val="both"/>
        <w:rPr>
          <w:rFonts w:ascii="Times New Roman" w:eastAsia="Times New Roman" w:hAnsi="Times New Roman" w:cs="Times New Roman"/>
          <w:lang w:eastAsia="bg-BG"/>
        </w:rPr>
      </w:pPr>
      <w:r w:rsidRPr="00344ED6">
        <w:rPr>
          <w:rFonts w:ascii="Times New Roman" w:eastAsia="Times New Roman" w:hAnsi="Times New Roman" w:cs="Times New Roman"/>
          <w:b/>
          <w:lang w:eastAsia="bg-BG"/>
        </w:rPr>
        <w:t>Дейност</w:t>
      </w:r>
      <w:r w:rsidR="000C658C" w:rsidRPr="00344ED6">
        <w:rPr>
          <w:rFonts w:ascii="Times New Roman" w:eastAsia="Times New Roman" w:hAnsi="Times New Roman" w:cs="Times New Roman"/>
          <w:b/>
          <w:lang w:eastAsia="bg-BG"/>
        </w:rPr>
        <w:t>и</w:t>
      </w:r>
      <w:r w:rsidRPr="00344ED6">
        <w:rPr>
          <w:rFonts w:ascii="Times New Roman" w:eastAsia="Times New Roman" w:hAnsi="Times New Roman" w:cs="Times New Roman"/>
          <w:b/>
          <w:lang w:eastAsia="bg-BG"/>
        </w:rPr>
        <w:t xml:space="preserve"> по приетия ЗИД на Закона за защита на конкуренцията (ЗЗК)</w:t>
      </w:r>
    </w:p>
    <w:p w14:paraId="3B9D96FB" w14:textId="77777777" w:rsidR="002052FC" w:rsidRPr="00344ED6" w:rsidRDefault="002052FC" w:rsidP="004E09FD">
      <w:pPr>
        <w:spacing w:after="0" w:line="276" w:lineRule="auto"/>
        <w:ind w:firstLine="709"/>
        <w:jc w:val="both"/>
        <w:rPr>
          <w:rFonts w:ascii="Times New Roman" w:eastAsia="Times New Roman" w:hAnsi="Times New Roman" w:cs="Times New Roman"/>
          <w:i/>
          <w:sz w:val="24"/>
          <w:szCs w:val="24"/>
          <w:lang w:eastAsia="bg-BG"/>
        </w:rPr>
      </w:pPr>
      <w:r w:rsidRPr="00344ED6">
        <w:rPr>
          <w:rFonts w:ascii="Times New Roman" w:eastAsia="Times New Roman" w:hAnsi="Times New Roman" w:cs="Times New Roman"/>
          <w:sz w:val="24"/>
          <w:szCs w:val="24"/>
          <w:lang w:eastAsia="bg-BG"/>
        </w:rPr>
        <w:t xml:space="preserve">Приетият ЗИД на Закона за защита на конкуренцията (ЗЗК), обн. ДВ, бр.17 от 26 февруари 2021 г. въведе множество изменения и в процесуално-правните и материално-правните разпоредби на закона. В сферата на антитръста измененията бяха въведени в изпълнение на задължението на Република България да транспонира разпоредбите на </w:t>
      </w:r>
      <w:r w:rsidRPr="00344ED6">
        <w:rPr>
          <w:rFonts w:ascii="Times New Roman" w:eastAsia="Times New Roman" w:hAnsi="Times New Roman" w:cs="Times New Roman"/>
          <w:i/>
          <w:sz w:val="24"/>
          <w:szCs w:val="24"/>
          <w:lang w:eastAsia="bg-BG"/>
        </w:rPr>
        <w:t>Директива (ЕС) 2019/1</w:t>
      </w:r>
      <w:r w:rsidRPr="00344ED6">
        <w:rPr>
          <w:i/>
          <w:sz w:val="24"/>
          <w:szCs w:val="24"/>
        </w:rPr>
        <w:t xml:space="preserve"> </w:t>
      </w:r>
      <w:r w:rsidRPr="00344ED6">
        <w:rPr>
          <w:rFonts w:ascii="Times New Roman" w:eastAsia="Times New Roman" w:hAnsi="Times New Roman" w:cs="Times New Roman"/>
          <w:i/>
          <w:sz w:val="24"/>
          <w:szCs w:val="24"/>
          <w:lang w:eastAsia="bg-BG"/>
        </w:rPr>
        <w:t>на Европейския парламент и на Съвета от 11 декември 2018 г. за предоставяне на правомощия на органите по конкуренция на държавите членки, за да бъдат по-ефективни в правоприлагането, и за гарантиране на правилното функциониране на вътрешния пазар.</w:t>
      </w:r>
    </w:p>
    <w:p w14:paraId="27B5FE04" w14:textId="77777777" w:rsidR="002052FC" w:rsidRPr="00344ED6" w:rsidRDefault="002052FC" w:rsidP="004E09FD">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Директивата има за цел да осигури засилване на правомощията на националните органи по конкуренция, за да разполагат те със средствата и инструментите за ефективно правоприлагане, от които се нуждаят. Това се  постига  чрез  предвидените  в директивата  допълнителни гаранции за тяхната независимост и достатъчно ресурси, както и чрез въвеждане на ефективни инструменти за откриване и събиране на доказателства. </w:t>
      </w:r>
    </w:p>
    <w:p w14:paraId="0BDEA956" w14:textId="77777777" w:rsidR="002052FC" w:rsidRPr="00344ED6" w:rsidRDefault="002052FC" w:rsidP="004E09FD">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Основните изменения в закона, засягащи антитръстовото правоприлагане, касаят приоритизирането на производствата, правомощията по събиране на доказателства, санкционния режим и режима на освобождаване от санкции или намаляването им. </w:t>
      </w:r>
    </w:p>
    <w:p w14:paraId="7812FF76" w14:textId="7C3063C9" w:rsidR="002052FC" w:rsidRPr="00344ED6" w:rsidRDefault="002052FC" w:rsidP="004E09FD">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Измененията и допълненията на закона наложиха цялостна актуализация на подзаконовите актове по приложението на ЗЗК. В тази връзка експерти от отдел </w:t>
      </w:r>
      <w:r w:rsidR="000461A0">
        <w:rPr>
          <w:rFonts w:ascii="Times New Roman" w:eastAsia="Times New Roman" w:hAnsi="Times New Roman" w:cs="Times New Roman"/>
          <w:sz w:val="24"/>
          <w:szCs w:val="24"/>
          <w:lang w:eastAsia="bg-BG"/>
        </w:rPr>
        <w:t>„Антитръст“</w:t>
      </w:r>
      <w:r w:rsidRPr="00344ED6">
        <w:rPr>
          <w:rFonts w:ascii="Times New Roman" w:eastAsia="Times New Roman" w:hAnsi="Times New Roman" w:cs="Times New Roman"/>
          <w:sz w:val="24"/>
          <w:szCs w:val="24"/>
          <w:lang w:eastAsia="bg-BG"/>
        </w:rPr>
        <w:t xml:space="preserve"> взеха активно участие в работните групи за създаването на проекти на нови</w:t>
      </w:r>
      <w:r w:rsidRPr="00344ED6">
        <w:rPr>
          <w:sz w:val="24"/>
          <w:szCs w:val="24"/>
        </w:rPr>
        <w:t xml:space="preserve"> </w:t>
      </w:r>
      <w:r w:rsidRPr="00344ED6">
        <w:rPr>
          <w:rFonts w:ascii="Times New Roman" w:eastAsia="Times New Roman" w:hAnsi="Times New Roman" w:cs="Times New Roman"/>
          <w:sz w:val="24"/>
          <w:szCs w:val="24"/>
          <w:lang w:eastAsia="bg-BG"/>
        </w:rPr>
        <w:t>Методика за определяне на санкциите и глобите, налагани по ЗЗК, Правила за разглеждане на предложения за поемане на задължения по ЗЗК и Програма за освобождаване от санкции или намаляване на санкциите и Правила за прилагането ѝ. Във връзка с въведения за първи път институт на приоритизиране на производствата пред Комисията, бяха изработени и изцяло нови Правила за приоритизиране на искания за образуване на производства по Глава девета и Глава дванадесета от ЗЗК. Всички подзаконови актове бяха приети с решения на Комисията през месец юни 2021г.</w:t>
      </w:r>
    </w:p>
    <w:p w14:paraId="0BDF4D0E" w14:textId="77777777" w:rsidR="002052FC" w:rsidRPr="00344ED6" w:rsidRDefault="002052FC" w:rsidP="004E09FD">
      <w:pPr>
        <w:spacing w:after="0" w:line="276" w:lineRule="auto"/>
        <w:ind w:left="1068"/>
        <w:contextualSpacing/>
        <w:jc w:val="both"/>
        <w:rPr>
          <w:rFonts w:ascii="Times New Roman" w:eastAsia="Times New Roman" w:hAnsi="Times New Roman" w:cs="Times New Roman"/>
          <w:b/>
          <w:sz w:val="24"/>
          <w:szCs w:val="24"/>
          <w:lang w:eastAsia="bg-BG"/>
        </w:rPr>
      </w:pPr>
    </w:p>
    <w:p w14:paraId="109BB6E1" w14:textId="6FA9CFF3" w:rsidR="002052FC" w:rsidRPr="00344ED6" w:rsidRDefault="002052FC" w:rsidP="004E09FD">
      <w:pPr>
        <w:pStyle w:val="ListParagraph"/>
        <w:numPr>
          <w:ilvl w:val="0"/>
          <w:numId w:val="15"/>
        </w:numPr>
        <w:spacing w:line="276" w:lineRule="auto"/>
        <w:ind w:left="1134" w:hanging="425"/>
        <w:contextualSpacing/>
        <w:jc w:val="both"/>
        <w:rPr>
          <w:rFonts w:ascii="Times New Roman" w:eastAsia="Times New Roman" w:hAnsi="Times New Roman" w:cs="Times New Roman"/>
          <w:b/>
          <w:lang w:eastAsia="bg-BG"/>
        </w:rPr>
      </w:pPr>
      <w:r w:rsidRPr="00344ED6">
        <w:rPr>
          <w:rFonts w:ascii="Times New Roman" w:eastAsia="Times New Roman" w:hAnsi="Times New Roman" w:cs="Times New Roman"/>
          <w:b/>
          <w:lang w:eastAsia="bg-BG"/>
        </w:rPr>
        <w:t xml:space="preserve">Международна дейност </w:t>
      </w:r>
    </w:p>
    <w:p w14:paraId="40C39055" w14:textId="77777777" w:rsidR="002052FC" w:rsidRPr="00344ED6" w:rsidRDefault="002052FC" w:rsidP="004E09FD">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Експертите от отдел „Антитръст“ продължават да са активно ангажирани в обмяната на опит и сътрудничество в рамките на Европейската и Международната мрежи по конкуренция. През отчетния период са изготвени отговори по 18 въпросника, а експертите са взели участие в 29 онлайн срещи, уебинари и обучения, организирани както от Европейската и Международната мрежи по конкуренция, така и от Организацията за икономическо сътрудничество и развитие, отделни национални ведомства по конкуренция и други организации. След всяко участие, съответният експерт изготвя паметна записка, в която подробно описва споделения опит и </w:t>
      </w:r>
      <w:r w:rsidRPr="00344ED6">
        <w:rPr>
          <w:rFonts w:ascii="Times New Roman" w:eastAsia="Times New Roman" w:hAnsi="Times New Roman" w:cs="Times New Roman"/>
          <w:sz w:val="24"/>
          <w:szCs w:val="24"/>
          <w:lang w:eastAsia="bg-BG"/>
        </w:rPr>
        <w:lastRenderedPageBreak/>
        <w:t>наученото по време на срещата. Същата се изпраща на всички експерти в отдела, за да бъдат в течение за развитието на антитръстовото правоприлагане в ЕС и извън него.</w:t>
      </w:r>
    </w:p>
    <w:p w14:paraId="2984E85E" w14:textId="77777777" w:rsidR="002052FC" w:rsidRPr="00344ED6" w:rsidRDefault="002052FC" w:rsidP="004E09FD">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Развитието на европейската правна рамка през последната година изисква активно участие на експертите от отдела, чрез изготвяне на отговори на широкомащабни въпросници относно практиката на Комисията в дадена сфера, изготвяне на позиции, участие в срещи и др. Така напр. във връзка с преразглеждането на </w:t>
      </w:r>
      <w:r w:rsidRPr="00344ED6">
        <w:rPr>
          <w:rFonts w:ascii="Times New Roman" w:eastAsia="Times New Roman" w:hAnsi="Times New Roman" w:cs="Times New Roman"/>
          <w:i/>
          <w:sz w:val="24"/>
          <w:szCs w:val="24"/>
          <w:lang w:eastAsia="bg-BG"/>
        </w:rPr>
        <w:t xml:space="preserve">Регламент (ЕС) № 330/2010 на Комисията от 20 април 2010 година за прилагането на член 101, параграф 3 от Договора за функционирането на Европейския съюз относно категориите вертикални споразумения и съгласувани практики </w:t>
      </w:r>
      <w:r w:rsidRPr="00344ED6">
        <w:rPr>
          <w:rFonts w:ascii="Times New Roman" w:eastAsia="Times New Roman" w:hAnsi="Times New Roman" w:cs="Times New Roman"/>
          <w:sz w:val="24"/>
          <w:szCs w:val="24"/>
          <w:lang w:eastAsia="bg-BG"/>
        </w:rPr>
        <w:t>(VBER) и</w:t>
      </w:r>
      <w:r w:rsidRPr="00344ED6">
        <w:rPr>
          <w:rFonts w:ascii="Times New Roman" w:eastAsia="Times New Roman" w:hAnsi="Times New Roman" w:cs="Times New Roman"/>
          <w:i/>
          <w:sz w:val="24"/>
          <w:szCs w:val="24"/>
          <w:lang w:eastAsia="bg-BG"/>
        </w:rPr>
        <w:t xml:space="preserve"> Насоките на ЕК относно вертикалните ограничения, </w:t>
      </w:r>
      <w:r w:rsidRPr="00344ED6">
        <w:rPr>
          <w:rFonts w:ascii="Times New Roman" w:eastAsia="Times New Roman" w:hAnsi="Times New Roman" w:cs="Times New Roman"/>
          <w:sz w:val="24"/>
          <w:szCs w:val="24"/>
          <w:lang w:eastAsia="bg-BG"/>
        </w:rPr>
        <w:t>през първото полугодие на 2021г</w:t>
      </w:r>
      <w:r w:rsidRPr="00344ED6">
        <w:rPr>
          <w:rFonts w:ascii="Times New Roman" w:eastAsia="Times New Roman" w:hAnsi="Times New Roman" w:cs="Times New Roman"/>
          <w:i/>
          <w:sz w:val="24"/>
          <w:szCs w:val="24"/>
          <w:lang w:eastAsia="bg-BG"/>
        </w:rPr>
        <w:t>.</w:t>
      </w:r>
      <w:r w:rsidRPr="00344ED6">
        <w:rPr>
          <w:rFonts w:ascii="Times New Roman" w:eastAsia="Times New Roman" w:hAnsi="Times New Roman" w:cs="Times New Roman"/>
          <w:sz w:val="24"/>
          <w:szCs w:val="24"/>
          <w:lang w:eastAsia="bg-BG"/>
        </w:rPr>
        <w:t xml:space="preserve"> бяха изготвени отговори по два въпросника относно практиката на Комисията по вертикални ограничения (чл. 15 от ЗЗК и чл. 101 от ДФЕС). Експерти от отдела взеха участие в две срещи в рамките на ЕМК, на които се дискутираха резултатите от публичните консултации и се обсъждаха предложенията за изменения в Регламента и Насоките. </w:t>
      </w:r>
    </w:p>
    <w:p w14:paraId="6AD32FAB"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Експерти от отдел „Антитръст“ участваха също в дискусиите и въпросниците във връзка с актуализацията на </w:t>
      </w:r>
      <w:r w:rsidRPr="00344ED6">
        <w:rPr>
          <w:rFonts w:ascii="Times New Roman" w:eastAsia="Times New Roman" w:hAnsi="Times New Roman" w:cs="Times New Roman"/>
          <w:i/>
          <w:sz w:val="24"/>
          <w:szCs w:val="24"/>
          <w:lang w:eastAsia="bg-BG"/>
        </w:rPr>
        <w:t>Известието на ЕК за определяне на съответния пазар</w:t>
      </w:r>
      <w:r w:rsidRPr="00344ED6">
        <w:rPr>
          <w:rFonts w:ascii="Times New Roman" w:eastAsia="Times New Roman" w:hAnsi="Times New Roman" w:cs="Times New Roman"/>
          <w:sz w:val="24"/>
          <w:szCs w:val="24"/>
          <w:lang w:eastAsia="bg-BG"/>
        </w:rPr>
        <w:t xml:space="preserve">, както и в оценката на правилата за освобождаване на споразуменията за хоризонтално сътрудничество - </w:t>
      </w:r>
      <w:r w:rsidRPr="00344ED6">
        <w:rPr>
          <w:rFonts w:ascii="Times New Roman" w:eastAsia="Times New Roman" w:hAnsi="Times New Roman" w:cs="Times New Roman"/>
          <w:i/>
          <w:sz w:val="24"/>
          <w:szCs w:val="24"/>
          <w:lang w:eastAsia="bg-BG"/>
        </w:rPr>
        <w:t>Регламент (ЕИО) № 2821/71 на Съвета от 20 декември 1971 г. относно прилагането на член 85, параграф 3 от Договора за категории споразумения, решения и съгласувани практики; Регламент (ЕС) № 1217/2010 на Комисията от 14 декември 2010 г. относно прилагането на член 101, параграф 3 от Договора за функционирането на Европейския съюз за някои категории споразумения за изследвания и разработки; Регламент (ЕС) № 1218/2010 на Комисията от 14 декември 2010 г. относно прилагането на член 101, параграф 3 от Договора за функционирането на Европейския съюз за някои категории споразумения за специализация и Насоки на ЕК относно приложимостта на член 101 от ДФЕС по отношение на споразуменията за хоризонтално сътрудничество.</w:t>
      </w:r>
    </w:p>
    <w:p w14:paraId="42D8A4F0"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p>
    <w:p w14:paraId="0C3C61BC" w14:textId="77DF0641" w:rsidR="002052FC" w:rsidRPr="00344ED6" w:rsidRDefault="000C658C" w:rsidP="00037F6E">
      <w:pPr>
        <w:numPr>
          <w:ilvl w:val="0"/>
          <w:numId w:val="12"/>
        </w:numPr>
        <w:spacing w:after="0" w:line="276" w:lineRule="auto"/>
        <w:outlineLvl w:val="0"/>
        <w:rPr>
          <w:rFonts w:ascii="Times New Roman" w:eastAsia="Calibri" w:hAnsi="Times New Roman" w:cs="Times New Roman"/>
          <w:b/>
          <w:sz w:val="24"/>
          <w:szCs w:val="24"/>
          <w:lang w:eastAsia="bg-BG"/>
        </w:rPr>
      </w:pPr>
      <w:r w:rsidRPr="00344ED6">
        <w:rPr>
          <w:rFonts w:ascii="Times New Roman" w:eastAsia="Calibri" w:hAnsi="Times New Roman" w:cs="Times New Roman"/>
          <w:b/>
          <w:sz w:val="24"/>
          <w:szCs w:val="24"/>
          <w:lang w:eastAsia="bg-BG"/>
        </w:rPr>
        <w:t xml:space="preserve">Контрол върху концентрациите между предприятия (Глава </w:t>
      </w:r>
      <w:r w:rsidRPr="00344ED6">
        <w:rPr>
          <w:rFonts w:ascii="Times New Roman" w:eastAsia="Calibri" w:hAnsi="Times New Roman" w:cs="Times New Roman"/>
          <w:b/>
          <w:sz w:val="24"/>
          <w:szCs w:val="24"/>
          <w:lang w:val="en-US" w:eastAsia="bg-BG"/>
        </w:rPr>
        <w:t>V</w:t>
      </w:r>
      <w:r w:rsidRPr="00344ED6">
        <w:rPr>
          <w:rFonts w:ascii="Times New Roman" w:eastAsia="Calibri" w:hAnsi="Times New Roman" w:cs="Times New Roman"/>
          <w:b/>
          <w:sz w:val="24"/>
          <w:szCs w:val="24"/>
          <w:lang w:eastAsia="bg-BG"/>
        </w:rPr>
        <w:t xml:space="preserve"> от ЗЗК).</w:t>
      </w:r>
    </w:p>
    <w:p w14:paraId="037E14E9" w14:textId="72858D28" w:rsidR="002052FC" w:rsidRPr="00344ED6" w:rsidRDefault="002052FC" w:rsidP="00037F6E">
      <w:pPr>
        <w:pStyle w:val="ListParagraph"/>
        <w:numPr>
          <w:ilvl w:val="0"/>
          <w:numId w:val="15"/>
        </w:numPr>
        <w:spacing w:line="276" w:lineRule="auto"/>
        <w:ind w:left="1134" w:hanging="425"/>
        <w:contextualSpacing/>
        <w:jc w:val="both"/>
        <w:rPr>
          <w:rFonts w:ascii="Times New Roman" w:eastAsia="Times New Roman" w:hAnsi="Times New Roman" w:cs="Times New Roman"/>
          <w:b/>
          <w:lang w:eastAsia="bg-BG"/>
        </w:rPr>
      </w:pPr>
      <w:r w:rsidRPr="00344ED6">
        <w:rPr>
          <w:rFonts w:ascii="Times New Roman" w:eastAsia="Times New Roman" w:hAnsi="Times New Roman" w:cs="Times New Roman"/>
          <w:b/>
          <w:lang w:eastAsia="bg-BG"/>
        </w:rPr>
        <w:t>Образувани производства и постановени решения</w:t>
      </w:r>
    </w:p>
    <w:p w14:paraId="16F4D72F" w14:textId="77777777" w:rsidR="002052FC" w:rsidRPr="00344ED6" w:rsidRDefault="002052FC" w:rsidP="00037F6E">
      <w:pPr>
        <w:spacing w:after="0" w:line="276" w:lineRule="auto"/>
        <w:ind w:firstLine="709"/>
        <w:jc w:val="both"/>
        <w:rPr>
          <w:rFonts w:ascii="Times New Roman" w:eastAsia="Times New Roman" w:hAnsi="Times New Roman" w:cs="Times New Roman"/>
          <w:b/>
          <w:sz w:val="24"/>
          <w:szCs w:val="24"/>
          <w:lang w:val="en-US" w:eastAsia="bg-BG"/>
        </w:rPr>
      </w:pPr>
      <w:r w:rsidRPr="00344ED6">
        <w:rPr>
          <w:rFonts w:ascii="Times New Roman" w:eastAsia="Times New Roman" w:hAnsi="Times New Roman" w:cs="Times New Roman"/>
          <w:sz w:val="24"/>
          <w:szCs w:val="24"/>
          <w:lang w:eastAsia="bg-BG"/>
        </w:rPr>
        <w:t xml:space="preserve">През първото полугодие на 2021 г. Комисията образува общо </w:t>
      </w:r>
      <w:r w:rsidRPr="00344ED6">
        <w:rPr>
          <w:rFonts w:ascii="Times New Roman" w:eastAsia="Times New Roman" w:hAnsi="Times New Roman" w:cs="Times New Roman"/>
          <w:b/>
          <w:sz w:val="24"/>
          <w:szCs w:val="24"/>
          <w:lang w:val="en-US" w:eastAsia="bg-BG"/>
        </w:rPr>
        <w:t>16</w:t>
      </w:r>
      <w:r w:rsidRPr="00344ED6">
        <w:rPr>
          <w:rFonts w:ascii="Times New Roman" w:eastAsia="Times New Roman" w:hAnsi="Times New Roman" w:cs="Times New Roman"/>
          <w:b/>
          <w:sz w:val="24"/>
          <w:szCs w:val="24"/>
          <w:lang w:eastAsia="bg-BG"/>
        </w:rPr>
        <w:t xml:space="preserve"> </w:t>
      </w:r>
      <w:r w:rsidRPr="00344ED6">
        <w:rPr>
          <w:rFonts w:ascii="Times New Roman" w:eastAsia="Times New Roman" w:hAnsi="Times New Roman" w:cs="Times New Roman"/>
          <w:sz w:val="24"/>
          <w:szCs w:val="24"/>
          <w:lang w:eastAsia="bg-BG"/>
        </w:rPr>
        <w:t>производства на основание чл. 38, ал. 1, т. 6 от ЗЗК по постъпили уведомления за разрешаване на концентрация</w:t>
      </w:r>
      <w:r w:rsidRPr="00344ED6">
        <w:rPr>
          <w:rFonts w:ascii="Times New Roman" w:eastAsia="Times New Roman" w:hAnsi="Times New Roman" w:cs="Times New Roman"/>
          <w:sz w:val="24"/>
          <w:szCs w:val="24"/>
          <w:lang w:val="ru-RU" w:eastAsia="bg-BG"/>
        </w:rPr>
        <w:t xml:space="preserve"> </w:t>
      </w:r>
      <w:r w:rsidRPr="00344ED6">
        <w:rPr>
          <w:rFonts w:ascii="Times New Roman" w:eastAsia="Times New Roman" w:hAnsi="Times New Roman" w:cs="Times New Roman"/>
          <w:sz w:val="24"/>
          <w:szCs w:val="24"/>
          <w:lang w:eastAsia="bg-BG"/>
        </w:rPr>
        <w:t xml:space="preserve">между предприятия съгласно чл. 22, ал.1 и ал. 2 от ЗЗК. Образуваните производства са с 2 повече спрямо образуваните производства за същия период през предходната 2020 г. </w:t>
      </w:r>
    </w:p>
    <w:p w14:paraId="49EFE3D1" w14:textId="77777777" w:rsidR="002052FC" w:rsidRPr="00344ED6" w:rsidRDefault="002052FC" w:rsidP="00037F6E">
      <w:pPr>
        <w:spacing w:after="0" w:line="276" w:lineRule="auto"/>
        <w:ind w:firstLine="708"/>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За същия отчетен период Комисията постанови общо </w:t>
      </w:r>
      <w:r w:rsidRPr="00344ED6">
        <w:rPr>
          <w:rFonts w:ascii="Times New Roman" w:eastAsia="Times New Roman" w:hAnsi="Times New Roman" w:cs="Times New Roman"/>
          <w:b/>
          <w:sz w:val="24"/>
          <w:szCs w:val="24"/>
          <w:lang w:val="en-US" w:eastAsia="bg-BG"/>
        </w:rPr>
        <w:t>18</w:t>
      </w:r>
      <w:r w:rsidRPr="00344ED6">
        <w:rPr>
          <w:rFonts w:ascii="Times New Roman" w:eastAsia="Times New Roman" w:hAnsi="Times New Roman" w:cs="Times New Roman"/>
          <w:sz w:val="24"/>
          <w:szCs w:val="24"/>
          <w:lang w:eastAsia="bg-BG"/>
        </w:rPr>
        <w:t xml:space="preserve"> решения, като </w:t>
      </w:r>
      <w:r w:rsidRPr="00344ED6">
        <w:rPr>
          <w:rFonts w:ascii="Times New Roman" w:eastAsia="Times New Roman" w:hAnsi="Times New Roman" w:cs="Times New Roman"/>
          <w:b/>
          <w:sz w:val="24"/>
          <w:szCs w:val="24"/>
          <w:lang w:val="en-US" w:eastAsia="bg-BG"/>
        </w:rPr>
        <w:t>5</w:t>
      </w:r>
      <w:r w:rsidRPr="00344ED6">
        <w:rPr>
          <w:rFonts w:ascii="Times New Roman" w:eastAsia="Times New Roman" w:hAnsi="Times New Roman" w:cs="Times New Roman"/>
          <w:b/>
          <w:sz w:val="24"/>
          <w:szCs w:val="24"/>
          <w:lang w:eastAsia="bg-BG"/>
        </w:rPr>
        <w:t xml:space="preserve"> </w:t>
      </w:r>
      <w:r w:rsidRPr="00344ED6">
        <w:rPr>
          <w:rFonts w:ascii="Times New Roman" w:eastAsia="Times New Roman" w:hAnsi="Times New Roman" w:cs="Times New Roman"/>
          <w:sz w:val="24"/>
          <w:szCs w:val="24"/>
          <w:lang w:eastAsia="bg-BG"/>
        </w:rPr>
        <w:t xml:space="preserve">от тях са по образувани производства в края на 2020 г. (Р. № </w:t>
      </w:r>
      <w:r w:rsidRPr="00344ED6">
        <w:rPr>
          <w:rFonts w:ascii="Times New Roman" w:eastAsia="Times New Roman" w:hAnsi="Times New Roman" w:cs="Times New Roman"/>
          <w:sz w:val="24"/>
          <w:szCs w:val="24"/>
          <w:lang w:val="en-US" w:eastAsia="bg-BG"/>
        </w:rPr>
        <w:t>36</w:t>
      </w:r>
      <w:r w:rsidRPr="00344ED6">
        <w:rPr>
          <w:rFonts w:ascii="Times New Roman" w:eastAsia="Times New Roman" w:hAnsi="Times New Roman" w:cs="Times New Roman"/>
          <w:sz w:val="24"/>
          <w:szCs w:val="24"/>
          <w:lang w:eastAsia="bg-BG"/>
        </w:rPr>
        <w:t>/</w:t>
      </w:r>
      <w:r w:rsidRPr="00344ED6">
        <w:rPr>
          <w:rFonts w:ascii="Times New Roman" w:eastAsia="Times New Roman" w:hAnsi="Times New Roman" w:cs="Times New Roman"/>
          <w:sz w:val="24"/>
          <w:szCs w:val="24"/>
          <w:lang w:val="en-US" w:eastAsia="bg-BG"/>
        </w:rPr>
        <w:t>14.01</w:t>
      </w:r>
      <w:r w:rsidRPr="00344ED6">
        <w:rPr>
          <w:rFonts w:ascii="Times New Roman" w:eastAsia="Times New Roman" w:hAnsi="Times New Roman" w:cs="Times New Roman"/>
          <w:sz w:val="24"/>
          <w:szCs w:val="24"/>
          <w:lang w:eastAsia="bg-BG"/>
        </w:rPr>
        <w:t xml:space="preserve">.21 г. по преписка КЗК/809/2020 г; Р. № 37/14.01.21 г. по преписка КЗК/883/2020 г.; Р. № 38/14.01.21 г. по преписка КЗК/889/2020 г.; Р. № 39/14.01.21 г. по преписка КЗК/895/2020 г. и Р. № 135/04.02.21 г. по преписка КЗК/900/2020 г.). От тях: </w:t>
      </w:r>
    </w:p>
    <w:p w14:paraId="1303962E"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color w:val="000000"/>
          <w:sz w:val="24"/>
          <w:szCs w:val="24"/>
          <w:lang w:eastAsia="bg-BG"/>
        </w:rPr>
        <w:t xml:space="preserve">- </w:t>
      </w:r>
      <w:r w:rsidRPr="00344ED6">
        <w:rPr>
          <w:rFonts w:ascii="Times New Roman" w:eastAsia="Times New Roman" w:hAnsi="Times New Roman" w:cs="Times New Roman"/>
          <w:b/>
          <w:sz w:val="24"/>
          <w:szCs w:val="24"/>
          <w:lang w:eastAsia="bg-BG"/>
        </w:rPr>
        <w:t>на</w:t>
      </w:r>
      <w:r w:rsidRPr="00344ED6">
        <w:rPr>
          <w:rFonts w:ascii="Times New Roman" w:eastAsia="Times New Roman" w:hAnsi="Times New Roman" w:cs="Times New Roman"/>
          <w:sz w:val="24"/>
          <w:szCs w:val="24"/>
          <w:lang w:eastAsia="bg-BG"/>
        </w:rPr>
        <w:t xml:space="preserve"> </w:t>
      </w:r>
      <w:r w:rsidRPr="00344ED6">
        <w:rPr>
          <w:rFonts w:ascii="Times New Roman" w:eastAsia="Times New Roman" w:hAnsi="Times New Roman" w:cs="Times New Roman"/>
          <w:b/>
          <w:sz w:val="24"/>
          <w:szCs w:val="24"/>
          <w:lang w:eastAsia="bg-BG"/>
        </w:rPr>
        <w:t>основание чл.60, ал.1, т.14, във връзка с чл.82, ал.3, т.2 от ЗЗК</w:t>
      </w:r>
      <w:r w:rsidRPr="00344ED6">
        <w:rPr>
          <w:rFonts w:ascii="Times New Roman" w:eastAsia="Times New Roman" w:hAnsi="Times New Roman" w:cs="Times New Roman"/>
          <w:sz w:val="24"/>
          <w:szCs w:val="24"/>
          <w:lang w:eastAsia="bg-BG"/>
        </w:rPr>
        <w:t xml:space="preserve"> Комисията разрешава концентрацията между предприятия – общо </w:t>
      </w:r>
      <w:r w:rsidRPr="00344ED6">
        <w:rPr>
          <w:rFonts w:ascii="Times New Roman" w:eastAsia="Times New Roman" w:hAnsi="Times New Roman" w:cs="Times New Roman"/>
          <w:b/>
          <w:sz w:val="24"/>
          <w:szCs w:val="24"/>
          <w:lang w:eastAsia="bg-BG"/>
        </w:rPr>
        <w:t>13</w:t>
      </w:r>
      <w:r w:rsidRPr="00344ED6">
        <w:rPr>
          <w:rFonts w:ascii="Times New Roman" w:eastAsia="Times New Roman" w:hAnsi="Times New Roman" w:cs="Times New Roman"/>
          <w:sz w:val="24"/>
          <w:szCs w:val="24"/>
          <w:lang w:eastAsia="bg-BG"/>
        </w:rPr>
        <w:t xml:space="preserve"> решения;</w:t>
      </w:r>
    </w:p>
    <w:p w14:paraId="0BA5209B"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lastRenderedPageBreak/>
        <w:t>За първото полугодие на 2021 г.</w:t>
      </w:r>
      <w:r w:rsidRPr="00344ED6">
        <w:rPr>
          <w:rFonts w:ascii="Times New Roman" w:eastAsia="Times New Roman" w:hAnsi="Times New Roman" w:cs="Times New Roman"/>
          <w:sz w:val="24"/>
          <w:szCs w:val="24"/>
          <w:lang w:val="en-US" w:eastAsia="bg-BG"/>
        </w:rPr>
        <w:t>,</w:t>
      </w:r>
      <w:r w:rsidRPr="00344ED6">
        <w:rPr>
          <w:rFonts w:ascii="Times New Roman" w:eastAsia="Times New Roman" w:hAnsi="Times New Roman" w:cs="Times New Roman"/>
          <w:sz w:val="24"/>
          <w:szCs w:val="24"/>
          <w:lang w:eastAsia="bg-BG"/>
        </w:rPr>
        <w:t xml:space="preserve"> в резултат на извършената оценка на нотифицираните</w:t>
      </w:r>
      <w:r w:rsidRPr="00344ED6">
        <w:rPr>
          <w:rFonts w:ascii="Times New Roman" w:eastAsia="Times New Roman" w:hAnsi="Times New Roman" w:cs="Times New Roman"/>
          <w:sz w:val="24"/>
          <w:szCs w:val="24"/>
          <w:lang w:val="en-US" w:eastAsia="bg-BG"/>
        </w:rPr>
        <w:t xml:space="preserve"> </w:t>
      </w:r>
      <w:r w:rsidRPr="00344ED6">
        <w:rPr>
          <w:rFonts w:ascii="Times New Roman" w:eastAsia="Times New Roman" w:hAnsi="Times New Roman" w:cs="Times New Roman"/>
          <w:sz w:val="24"/>
          <w:szCs w:val="24"/>
          <w:lang w:eastAsia="bg-BG"/>
        </w:rPr>
        <w:t>концентрации</w:t>
      </w:r>
      <w:r w:rsidRPr="00344ED6">
        <w:rPr>
          <w:rFonts w:ascii="Times New Roman" w:eastAsia="Times New Roman" w:hAnsi="Times New Roman" w:cs="Times New Roman"/>
          <w:sz w:val="24"/>
          <w:szCs w:val="24"/>
          <w:lang w:val="en-US" w:eastAsia="bg-BG"/>
        </w:rPr>
        <w:t>,</w:t>
      </w:r>
      <w:r w:rsidRPr="00344ED6">
        <w:rPr>
          <w:rFonts w:ascii="Times New Roman" w:eastAsia="Times New Roman" w:hAnsi="Times New Roman" w:cs="Times New Roman"/>
          <w:sz w:val="24"/>
          <w:szCs w:val="24"/>
          <w:lang w:eastAsia="bg-BG"/>
        </w:rPr>
        <w:t xml:space="preserve"> КЗК не установи наличие на възможност за значително засягане на конкуренцията на съответните засегнати пазари, особено в резултат на създаване или засилване на господстващо положение на участниците в концентрацията. С оглед на направените изводи Комисията разреши безусловно тяхното осъществяване в рамките на ускореното проучване по реда на чл.80 и чл. 81 от ЗЗК </w:t>
      </w:r>
    </w:p>
    <w:p w14:paraId="58E08F22" w14:textId="77777777" w:rsidR="002052FC" w:rsidRPr="00344ED6" w:rsidRDefault="002052FC" w:rsidP="00037F6E">
      <w:pPr>
        <w:spacing w:after="0" w:line="276" w:lineRule="auto"/>
        <w:ind w:firstLine="709"/>
        <w:jc w:val="both"/>
        <w:rPr>
          <w:rFonts w:ascii="Times New Roman" w:eastAsia="Times New Roman" w:hAnsi="Times New Roman" w:cs="Times New Roman"/>
          <w:b/>
          <w:sz w:val="24"/>
          <w:szCs w:val="24"/>
          <w:lang w:eastAsia="bg-BG"/>
        </w:rPr>
      </w:pPr>
      <w:r w:rsidRPr="00344ED6">
        <w:rPr>
          <w:rFonts w:ascii="Times New Roman" w:eastAsia="Times New Roman" w:hAnsi="Times New Roman" w:cs="Times New Roman"/>
          <w:sz w:val="24"/>
          <w:szCs w:val="24"/>
          <w:lang w:eastAsia="bg-BG"/>
        </w:rPr>
        <w:t xml:space="preserve">- </w:t>
      </w:r>
      <w:r w:rsidRPr="00344ED6">
        <w:rPr>
          <w:rFonts w:ascii="Times New Roman" w:eastAsia="Times New Roman" w:hAnsi="Times New Roman" w:cs="Times New Roman"/>
          <w:b/>
          <w:sz w:val="24"/>
          <w:szCs w:val="24"/>
          <w:lang w:eastAsia="bg-BG"/>
        </w:rPr>
        <w:t xml:space="preserve">на основание чл.60, ал.1, т.13, във връзка с чл.82, ал.3, т.1, предл. второ от ЗЗК </w:t>
      </w:r>
      <w:r w:rsidRPr="00344ED6">
        <w:rPr>
          <w:rFonts w:ascii="Times New Roman" w:eastAsia="Times New Roman" w:hAnsi="Times New Roman" w:cs="Times New Roman"/>
          <w:sz w:val="24"/>
          <w:szCs w:val="24"/>
          <w:lang w:eastAsia="bg-BG"/>
        </w:rPr>
        <w:t xml:space="preserve">Комисията постанови, че сделката не попада в обхвата на задължението за предварително уведомяване по чл. 24, ал. 1 от ЗЗК </w:t>
      </w:r>
      <w:r w:rsidRPr="00344ED6">
        <w:rPr>
          <w:rFonts w:ascii="Times New Roman" w:eastAsia="Times New Roman" w:hAnsi="Times New Roman" w:cs="Times New Roman"/>
          <w:b/>
          <w:sz w:val="24"/>
          <w:szCs w:val="24"/>
          <w:lang w:eastAsia="bg-BG"/>
        </w:rPr>
        <w:t xml:space="preserve">– </w:t>
      </w:r>
      <w:r w:rsidRPr="00344ED6">
        <w:rPr>
          <w:rFonts w:ascii="Times New Roman" w:eastAsia="Times New Roman" w:hAnsi="Times New Roman" w:cs="Times New Roman"/>
          <w:sz w:val="24"/>
          <w:szCs w:val="24"/>
          <w:lang w:eastAsia="bg-BG"/>
        </w:rPr>
        <w:t xml:space="preserve">общо </w:t>
      </w:r>
      <w:r w:rsidRPr="00344ED6">
        <w:rPr>
          <w:rFonts w:ascii="Times New Roman" w:eastAsia="Times New Roman" w:hAnsi="Times New Roman" w:cs="Times New Roman"/>
          <w:b/>
          <w:sz w:val="24"/>
          <w:szCs w:val="24"/>
          <w:lang w:eastAsia="bg-BG"/>
        </w:rPr>
        <w:t xml:space="preserve">3 </w:t>
      </w:r>
      <w:r w:rsidRPr="00344ED6">
        <w:rPr>
          <w:rFonts w:ascii="Times New Roman" w:eastAsia="Times New Roman" w:hAnsi="Times New Roman" w:cs="Times New Roman"/>
          <w:sz w:val="24"/>
          <w:szCs w:val="24"/>
          <w:lang w:eastAsia="bg-BG"/>
        </w:rPr>
        <w:t>решения</w:t>
      </w:r>
      <w:r w:rsidRPr="00344ED6">
        <w:rPr>
          <w:rFonts w:ascii="Times New Roman" w:eastAsia="Times New Roman" w:hAnsi="Times New Roman" w:cs="Times New Roman"/>
          <w:b/>
          <w:sz w:val="24"/>
          <w:szCs w:val="24"/>
          <w:lang w:eastAsia="bg-BG"/>
        </w:rPr>
        <w:t>;</w:t>
      </w:r>
    </w:p>
    <w:p w14:paraId="39DFE75D"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 </w:t>
      </w:r>
      <w:r w:rsidRPr="00344ED6">
        <w:rPr>
          <w:rFonts w:ascii="Times New Roman" w:eastAsia="Times New Roman" w:hAnsi="Times New Roman" w:cs="Times New Roman"/>
          <w:b/>
          <w:sz w:val="24"/>
          <w:szCs w:val="24"/>
          <w:lang w:eastAsia="bg-BG"/>
        </w:rPr>
        <w:t>на основание чл. 60, ал. 1, т. 13, във връзка с чл. 82, ал. 3, т. 1 предл. първо от ЗЗК</w:t>
      </w:r>
      <w:r w:rsidRPr="00344ED6">
        <w:rPr>
          <w:rFonts w:ascii="Times New Roman" w:eastAsia="Times New Roman" w:hAnsi="Times New Roman" w:cs="Times New Roman"/>
          <w:sz w:val="24"/>
          <w:szCs w:val="24"/>
          <w:lang w:eastAsia="bg-BG"/>
        </w:rPr>
        <w:t xml:space="preserve"> Комисията постанови, че сделката не представлява концентрация – общо </w:t>
      </w:r>
      <w:r w:rsidRPr="00344ED6">
        <w:rPr>
          <w:rFonts w:ascii="Times New Roman" w:eastAsia="Times New Roman" w:hAnsi="Times New Roman" w:cs="Times New Roman"/>
          <w:b/>
          <w:sz w:val="24"/>
          <w:szCs w:val="24"/>
          <w:lang w:eastAsia="bg-BG"/>
        </w:rPr>
        <w:t>2</w:t>
      </w:r>
      <w:r w:rsidRPr="00344ED6">
        <w:rPr>
          <w:rFonts w:ascii="Times New Roman" w:eastAsia="Times New Roman" w:hAnsi="Times New Roman" w:cs="Times New Roman"/>
          <w:sz w:val="24"/>
          <w:szCs w:val="24"/>
          <w:lang w:eastAsia="bg-BG"/>
        </w:rPr>
        <w:t xml:space="preserve"> решения. </w:t>
      </w:r>
    </w:p>
    <w:p w14:paraId="5DBBB6B8" w14:textId="77777777" w:rsidR="002052FC" w:rsidRPr="00344ED6" w:rsidRDefault="002052FC" w:rsidP="00037F6E">
      <w:pPr>
        <w:spacing w:after="0" w:line="276" w:lineRule="auto"/>
        <w:ind w:firstLine="708"/>
        <w:jc w:val="both"/>
        <w:rPr>
          <w:rFonts w:ascii="Times New Roman" w:eastAsia="Times New Roman" w:hAnsi="Times New Roman" w:cs="Times New Roman"/>
          <w:b/>
          <w:i/>
          <w:sz w:val="24"/>
          <w:szCs w:val="24"/>
          <w:lang w:eastAsia="bg-BG"/>
        </w:rPr>
      </w:pPr>
    </w:p>
    <w:p w14:paraId="055DAC2E" w14:textId="4CF9AB6B" w:rsidR="002052FC" w:rsidRPr="00344ED6" w:rsidRDefault="002052FC" w:rsidP="00037F6E">
      <w:pPr>
        <w:pStyle w:val="ListParagraph"/>
        <w:numPr>
          <w:ilvl w:val="0"/>
          <w:numId w:val="15"/>
        </w:numPr>
        <w:spacing w:line="276" w:lineRule="auto"/>
        <w:ind w:left="1134" w:hanging="425"/>
        <w:contextualSpacing/>
        <w:jc w:val="both"/>
        <w:rPr>
          <w:rFonts w:ascii="Times New Roman" w:eastAsia="Times New Roman" w:hAnsi="Times New Roman" w:cs="Times New Roman"/>
          <w:b/>
          <w:lang w:eastAsia="bg-BG"/>
        </w:rPr>
      </w:pPr>
      <w:r w:rsidRPr="00344ED6">
        <w:rPr>
          <w:rFonts w:ascii="Times New Roman" w:eastAsia="Times New Roman" w:hAnsi="Times New Roman" w:cs="Times New Roman"/>
          <w:b/>
          <w:lang w:eastAsia="bg-BG"/>
        </w:rPr>
        <w:t>Дейност по приетия ЗИД на Закона за защита на конкуренцията (ЗЗК)</w:t>
      </w:r>
    </w:p>
    <w:p w14:paraId="75A3136F"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Приетият ЗИД на Закона за защита на конкуренцията (ЗЗК), обн. ДВ, бр.17 от 26 февруари 2021 г., измени и допълни състава на разпоредбата на чл. 26 от ЗЗК. С цел повишаване ефективността и разширяване обхвата на контрол върху концентрациите между предприятия, Комисията замени теста за господство с теста за "съществено възпрепятстване на ефективната конкуренция". Този тест се прилага от ЕК в съответствие с Регламент на Съвета № 139/2004 г. относно контрола върху концентрациите между предприятия (Регламент за сливанията) и е възприет в националните законодателства на държавите членки на ЕС. Водещо при оценката на сделката е дали същата ще засегне значително конкуренцията на съответния засегнат пазар, тъй като това не винаги е резултат само от създаването или засилването на господстващо положение, но може да настъпи и вследствие на промяна в условията на конкуренция след осъществяването на концентрацията. Тази промяна в условията би могла не само да наруши конкуренцията на пазара, но и да засегне интересите на потребителите като цяло чрез увеличаване пазарната мощ на обединената група.</w:t>
      </w:r>
    </w:p>
    <w:p w14:paraId="0C2D8868" w14:textId="77777777" w:rsidR="002052FC" w:rsidRPr="00344ED6" w:rsidRDefault="002052FC" w:rsidP="00037F6E">
      <w:pPr>
        <w:spacing w:after="0" w:line="276" w:lineRule="auto"/>
        <w:ind w:firstLine="708"/>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С приетия ЗИД на ЗЗК се измени и допълни състава и на разпоредбата на чл. 86 от ЗЗК. Съгласно чл. 86, ал. 1 от ЗЗК Комисията може да одобри мерки, предложени от лицата по чл. 78, ал. 1, пряко свързани с изпълнението на концентрацията, които са необходими за запазване на ефективната конкуренция (МЗЕК) и ограничаване на отрицателното въздействие на концентрацията върху засегнатия пазар. Изменението на нормата на чл. 86, ал. 1 от ЗЗК относно одобряването на мерки от КЗК е в съответствие с практиката на ЕК и националните законодателства на държавите членки на ЕС, съгласно които административните органи могат само да одобряват, след извършване на пазарен тест, но не и да налагат мерки на участници в концентрация. </w:t>
      </w:r>
    </w:p>
    <w:p w14:paraId="49D6B3A8" w14:textId="77777777" w:rsidR="002052FC" w:rsidRPr="00344ED6" w:rsidRDefault="002052FC" w:rsidP="00037F6E">
      <w:pPr>
        <w:spacing w:after="0" w:line="276" w:lineRule="auto"/>
        <w:ind w:firstLine="708"/>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Законодателят е предвидил и възможност Комисията да назначи особен представител, който да следи за изпълнението на одобрените от нея мерки и да служи за гарант, че концентрацията ще бъде осъществена с необходимата степен на сигурност (чл. 86, ал. 3 ЗЗК). Законът предвижда процедурата по одобряване на мерки и назначаване на особен представител да бъде уредена с правила, приети от Комисията (чл. 86, ал. 4 ЗЗК). </w:t>
      </w:r>
    </w:p>
    <w:p w14:paraId="4CB6FE82" w14:textId="77777777" w:rsidR="002052FC" w:rsidRPr="00344ED6" w:rsidRDefault="002052FC" w:rsidP="00037F6E">
      <w:pPr>
        <w:spacing w:after="0" w:line="276" w:lineRule="auto"/>
        <w:ind w:firstLine="708"/>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lastRenderedPageBreak/>
        <w:t>Предвид гореописаните изменения и допълнения на ЗЗК в частта контрол и оценка на концентрациите между предпирятия, беше сформирана работна група от експерти в отдел „Концентрации“, които изготвиха проект на Правила за одобряване на мерки за запазване на конкуренцията при концентрации между предприятия (Правилата). Целта на Правилата е да внесе прозрачност, яснота и ефективност на процедурата по одобряването на предложените от лицата по чл. 78, ал. 1 МЗЕК и да гарантира в по-голяма степен правната сигурност на участниците в производствата по оценка на концентрации между предприятия. Правилата са Приети с Решение № 689/01.07.21 г. след провеждането на обществени консултации по реда на Закона за нормативните актове.</w:t>
      </w:r>
    </w:p>
    <w:p w14:paraId="234EB033" w14:textId="77777777" w:rsidR="002052FC" w:rsidRPr="00344ED6" w:rsidRDefault="002052FC" w:rsidP="00037F6E">
      <w:pPr>
        <w:spacing w:after="0" w:line="276" w:lineRule="auto"/>
        <w:ind w:firstLine="708"/>
        <w:jc w:val="both"/>
        <w:rPr>
          <w:rFonts w:ascii="Times New Roman" w:eastAsia="Times New Roman" w:hAnsi="Times New Roman" w:cs="Times New Roman"/>
          <w:b/>
          <w:i/>
          <w:sz w:val="24"/>
          <w:szCs w:val="24"/>
          <w:lang w:eastAsia="bg-BG"/>
        </w:rPr>
      </w:pPr>
    </w:p>
    <w:p w14:paraId="1CCA4861" w14:textId="58325407" w:rsidR="002052FC" w:rsidRPr="00344ED6" w:rsidRDefault="002052FC" w:rsidP="00037F6E">
      <w:pPr>
        <w:pStyle w:val="ListParagraph"/>
        <w:numPr>
          <w:ilvl w:val="0"/>
          <w:numId w:val="15"/>
        </w:numPr>
        <w:spacing w:line="276" w:lineRule="auto"/>
        <w:ind w:left="1134" w:hanging="425"/>
        <w:contextualSpacing/>
        <w:jc w:val="both"/>
        <w:rPr>
          <w:rFonts w:ascii="Times New Roman" w:eastAsia="Times New Roman" w:hAnsi="Times New Roman" w:cs="Times New Roman"/>
          <w:b/>
          <w:lang w:eastAsia="bg-BG"/>
        </w:rPr>
      </w:pPr>
      <w:r w:rsidRPr="00344ED6">
        <w:rPr>
          <w:rFonts w:ascii="Times New Roman" w:eastAsia="Times New Roman" w:hAnsi="Times New Roman" w:cs="Times New Roman"/>
          <w:b/>
          <w:lang w:eastAsia="bg-BG"/>
        </w:rPr>
        <w:t>Дейност по прилагане на Регламент № 139/2004 г. на Съвета относно контрола върху концентрациите между предприятия</w:t>
      </w:r>
    </w:p>
    <w:p w14:paraId="17477F64" w14:textId="77777777" w:rsidR="002052FC" w:rsidRPr="00344ED6" w:rsidRDefault="002052FC" w:rsidP="00037F6E">
      <w:pPr>
        <w:spacing w:after="0" w:line="276" w:lineRule="auto"/>
        <w:ind w:firstLine="708"/>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КЗК е компетентна да осъществява контрол върху концентрациите с национално измерение, а тези които достигат праговете по чл.1 от Регламент № 139/2004 г. на Съвета относно контрола върху концентрациите между предприятия (Регламент за сливанията) попадат под изключителната юрисдикция на ЕК. В същото време Регламентът предоставя възможност за изменяне на оригиналната юрисдикция с оглед концентрацията да бъде оценена от най-подходящия орган по конкуренция (ЕК или национален орган по конкуренция). Правните изисквания и сроковете за пренасочване на концентрациите от или към ЕК са разписани подробно в Насоките на ЕК относно препращане на преписки за концентрации (Насоките). </w:t>
      </w:r>
    </w:p>
    <w:p w14:paraId="2CEEE41D"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В тази връзка и съгласно Регламента за сливанията, ЕК предоставя на държавите-членки, копие от постъпилите при нея уведомления за концентрации и мотивирани искания на участниците по съответната сделка и ли приканва по реда на чл. 22, ал. 5 от Регламента за сливанията държавите-членки да инициират препращане по реда на чл. 22 от същия.</w:t>
      </w:r>
    </w:p>
    <w:p w14:paraId="63B1FCA2" w14:textId="0C1FDE10"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За отчетния период КЗК извърши анализ на информацията, съдържаща се в общо </w:t>
      </w:r>
      <w:r w:rsidRPr="00344ED6">
        <w:rPr>
          <w:rFonts w:ascii="Times New Roman" w:eastAsia="Times New Roman" w:hAnsi="Times New Roman" w:cs="Times New Roman"/>
          <w:b/>
          <w:sz w:val="24"/>
          <w:szCs w:val="24"/>
          <w:lang w:eastAsia="bg-BG"/>
        </w:rPr>
        <w:t>185</w:t>
      </w:r>
      <w:r w:rsidRPr="00344ED6">
        <w:rPr>
          <w:rFonts w:ascii="Times New Roman" w:eastAsia="Times New Roman" w:hAnsi="Times New Roman" w:cs="Times New Roman"/>
          <w:sz w:val="24"/>
          <w:szCs w:val="24"/>
          <w:lang w:val="en-US" w:eastAsia="bg-BG"/>
        </w:rPr>
        <w:t xml:space="preserve"> </w:t>
      </w:r>
      <w:r w:rsidRPr="00344ED6">
        <w:rPr>
          <w:rFonts w:ascii="Times New Roman" w:eastAsia="Times New Roman" w:hAnsi="Times New Roman" w:cs="Times New Roman"/>
          <w:sz w:val="24"/>
          <w:szCs w:val="24"/>
          <w:lang w:eastAsia="bg-BG"/>
        </w:rPr>
        <w:t>постъпили по горепосочения ред уведомления и мотивирани искания за концентрации между предприятия, чийто срок за изразяване на становище изтича към 30.06.21 г., с оглед преценка за евентуално прилагане на процедурата по препращане от/към ЕК в съответствие с Регламента за сливаният</w:t>
      </w:r>
      <w:r w:rsidR="00C44E71">
        <w:rPr>
          <w:rFonts w:ascii="Times New Roman" w:eastAsia="Times New Roman" w:hAnsi="Times New Roman" w:cs="Times New Roman"/>
          <w:sz w:val="24"/>
          <w:szCs w:val="24"/>
          <w:lang w:eastAsia="bg-BG"/>
        </w:rPr>
        <w:t>а и Насоките. За периода 01.01.</w:t>
      </w:r>
      <w:r w:rsidRPr="00344ED6">
        <w:rPr>
          <w:rFonts w:ascii="Times New Roman" w:eastAsia="Times New Roman" w:hAnsi="Times New Roman" w:cs="Times New Roman"/>
          <w:sz w:val="24"/>
          <w:szCs w:val="24"/>
          <w:lang w:eastAsia="bg-BG"/>
        </w:rPr>
        <w:t>21 г- - 30.06.21 г. КЗК не упражни правомощията си за отправяне на искане за препращане на случай по концентрации от и/или до ЕК (преди нотифициране или след подаване на уведомление), тъй като не са били изпълнени кумулативните правни изисквания по чл. 9, ал.2 и чл. 22 от Регламента за сливанията. За</w:t>
      </w:r>
      <w:r w:rsidRPr="00344ED6">
        <w:rPr>
          <w:rFonts w:ascii="Times New Roman" w:eastAsia="Times New Roman" w:hAnsi="Times New Roman" w:cs="Times New Roman"/>
          <w:sz w:val="24"/>
          <w:szCs w:val="24"/>
          <w:lang w:val="en-US" w:eastAsia="bg-BG"/>
        </w:rPr>
        <w:t xml:space="preserve"> </w:t>
      </w:r>
      <w:r w:rsidRPr="00344ED6">
        <w:rPr>
          <w:rFonts w:ascii="Times New Roman" w:eastAsia="Times New Roman" w:hAnsi="Times New Roman" w:cs="Times New Roman"/>
          <w:sz w:val="24"/>
          <w:szCs w:val="24"/>
          <w:lang w:eastAsia="bg-BG"/>
        </w:rPr>
        <w:t>отчетния период КЗК изрази съгласие за препращане общо на четири случая по реда на чл. 4 (5) от Регламента за сливанията (M.10039 -Peter Kaindl plc / M. Kaindl OG;</w:t>
      </w:r>
      <w:r w:rsidRPr="00344ED6">
        <w:rPr>
          <w:sz w:val="24"/>
          <w:szCs w:val="24"/>
        </w:rPr>
        <w:t xml:space="preserve"> </w:t>
      </w:r>
      <w:r w:rsidRPr="00344ED6">
        <w:rPr>
          <w:rFonts w:ascii="Times New Roman" w:eastAsia="Times New Roman" w:hAnsi="Times New Roman" w:cs="Times New Roman"/>
          <w:sz w:val="24"/>
          <w:szCs w:val="24"/>
          <w:lang w:eastAsia="bg-BG"/>
        </w:rPr>
        <w:t xml:space="preserve">M.10213-Ravago / Indukern; M.10206- Mayr-Melnhof Karton / International Paper (Poland) и М.10205- Orange / CDC / EDF / OC). След анализ на документите по съответните мотивирани искания, КЗК достига до извода, че са изпълнени правните критерии за препращане на случаите за разглеждане от ЕК, а именно: сделката представлява концентрация по смисъла на чл. 3 от Регламента за сливанията и следва да бъде нотифицирани в поне три държави-членки на ЕС. Предвид </w:t>
      </w:r>
      <w:r w:rsidRPr="00344ED6">
        <w:rPr>
          <w:rFonts w:ascii="Times New Roman" w:eastAsia="Times New Roman" w:hAnsi="Times New Roman" w:cs="Times New Roman"/>
          <w:sz w:val="24"/>
          <w:szCs w:val="24"/>
          <w:lang w:eastAsia="bg-BG"/>
        </w:rPr>
        <w:lastRenderedPageBreak/>
        <w:t xml:space="preserve">горепосочените изисквания и въз основа на водещите принципи на Известието на Комисията относно препращане на преписки за концентрации, ЕК се явява в най-добра позиция да оцени тези сделки. </w:t>
      </w:r>
    </w:p>
    <w:p w14:paraId="3E35B35C"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В края на м. март 2021 г. ЕК публикува Насоки за прилагане на механизма за препращане по чл. 22 от Регламента за сливанията за определени категории случаи на концентрации между предприятия, които допълват действащите към момента Насоки относно препращане на преписки по концентрации от и към ЕК в частта препращане по реда на чл. 22 от Регламента за сливанията. Насоките съдържат указания за категориите случаи, които могат да представляват подходящи кандидати за препращане в ситуации, при които сделката не подлежи на уведомяване съгласно законодателството на препращащата (ите) държава(и) членка(и), за критериите, които Комисията може да вземе предвид в такива ситуации, когато насърчава или приема такова препращане, както и отразяват някои процедурни аспекти. Като цяло тяхната цел е да повишат прозрачността, предвидимостта и правната сигурност по отношение на едно по-широко прилагане на чл. 22 от Регламента за сливанията. През отчетния период КЗК, след проведена вътрешна дискусия, достига до предварително заключение да не иска препращане на сделката Илумина/Грейл към Европейската комисия или да се присъедини към инициираното от френският орган по конкуренция искане за препращане, тъй като счита, че не е изпълнено второто кумулативно правно изискване на чл. 22, ал. 1 от Регламента за сливанията, а именно значително засягане на конкуренцията на територията на страната. </w:t>
      </w:r>
    </w:p>
    <w:p w14:paraId="2D2EA877"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След анализ на информацията, съдържаща се в документите, качени в ЕМК Комисията се присъедини към искането за препращане, направено от австрийският орган по конкуренция (BWB) по случая</w:t>
      </w:r>
      <w:r w:rsidRPr="00344ED6">
        <w:rPr>
          <w:sz w:val="24"/>
          <w:szCs w:val="24"/>
        </w:rPr>
        <w:t xml:space="preserve"> </w:t>
      </w:r>
      <w:r w:rsidRPr="00344ED6">
        <w:rPr>
          <w:rFonts w:ascii="Times New Roman" w:eastAsia="Times New Roman" w:hAnsi="Times New Roman" w:cs="Times New Roman"/>
          <w:sz w:val="24"/>
          <w:szCs w:val="24"/>
          <w:lang w:eastAsia="bg-BG"/>
        </w:rPr>
        <w:t xml:space="preserve">М. 10262–Facebook/Kustomer. КЗК счете, че транзакцията изпълнява двете правни изисквания, посочени в чл. 22 от Регламента за сливанията, по-конкретно (i) засяга търговията между държавите-членки (ii) заплашва значително конкуренцията на територията на държавите-членки в ЕИП, вкл. България. </w:t>
      </w:r>
    </w:p>
    <w:p w14:paraId="7201A11D"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Относно първото правно изискване и въз основа на практиката на ЕК, съответните пазари в географски обхват са по-широки от националните граници. Facebook има значително присъствие в световен мащаб и във всяка държава-членка на територията на ЕИП. На база наличната публична информация  Kustomer ще разшири дейността си и ще увеличи своите продажби в Европа. В тази връзка може да се предположи, че транзакцията ще засегне търговията между държавите-членки.</w:t>
      </w:r>
    </w:p>
    <w:p w14:paraId="438EC51A"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Относно второто правно изискване, КЗК сподели опасенията на BWB и на ЕК, че транзакцията значително ще възпрепятства конкуренцията на територията на държавите-членки в ЕИП, в т.ч. България:</w:t>
      </w:r>
    </w:p>
    <w:p w14:paraId="572C621E"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-чрез ограничаване достъпа на конкурентни доставчици на комуникации B2C и / или на конкурентни доставчици на CMR софтуер.</w:t>
      </w:r>
    </w:p>
    <w:p w14:paraId="5CBCF369"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-чрез засилване на позицията на Facebook на потенциално засегнатия национален пазар за предоставяне на онлайн рекламни услуги.</w:t>
      </w:r>
    </w:p>
    <w:p w14:paraId="57D2ED2B"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Допълнително в свое решение № 53/2020 г. КЗК е установила, че съгласно проучване на „IAB България“, основната част (около 60%) от рекламните приходи в страната през 2017 г. и 2018 г. се реализира от реклами в чужди сайтове – Facebook, </w:t>
      </w:r>
      <w:r w:rsidRPr="00344ED6">
        <w:rPr>
          <w:rFonts w:ascii="Times New Roman" w:eastAsia="Times New Roman" w:hAnsi="Times New Roman" w:cs="Times New Roman"/>
          <w:sz w:val="24"/>
          <w:szCs w:val="24"/>
          <w:lang w:eastAsia="bg-BG"/>
        </w:rPr>
        <w:lastRenderedPageBreak/>
        <w:t>Google и YouTube. Останалата част се разпределя между българските медии, които сумарно акумулират около 40% от рекламните бюджети. Пазарният дял на Facebook на база нетни приходи от интернет реклама за 2017 г. е 27%, съответно за 2018 г. – 25%. На второ място е Google Search с дял от 23-24% за периода, следвано от YouTube (11%). Тези данни доказват ролята и водещата пазарна позиция на Facebook в страната при интернет рекламата.</w:t>
      </w:r>
    </w:p>
    <w:p w14:paraId="51E16549"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Следователно, предвид горепосочените изисквания и въз основа на водещите принципи на Насоките относно препращане на преписки, ЕК е в най-добра позиция да оцени сделката и КЗК се присъедини към инициираното от австрийският орган по конкуренция искане за препращане на случая М. 10262–Facebook/Kustomer към ЕК.</w:t>
      </w:r>
    </w:p>
    <w:p w14:paraId="4EF7731E"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hAnsi="Times New Roman" w:cs="Times New Roman"/>
          <w:sz w:val="24"/>
          <w:szCs w:val="24"/>
        </w:rPr>
        <w:t xml:space="preserve">Голяма част от дейността на експертите в отдела бе свързана и с </w:t>
      </w:r>
      <w:r w:rsidRPr="00344ED6">
        <w:rPr>
          <w:rFonts w:ascii="Times New Roman" w:eastAsia="Times New Roman" w:hAnsi="Times New Roman" w:cs="Times New Roman"/>
          <w:sz w:val="24"/>
          <w:szCs w:val="24"/>
          <w:lang w:eastAsia="bg-BG"/>
        </w:rPr>
        <w:t>участието в проведени он-лайн срещи и уебинари, както и попълването на въпросници в рамките на европейската и международна мрежи по конкуренция, като някои от тях изискваха дискусии и експертни становища, свързани с планирани изменения на правната рамка на ЕК в областта на конкуренцията.</w:t>
      </w:r>
    </w:p>
    <w:p w14:paraId="06081853" w14:textId="77777777" w:rsidR="002052FC" w:rsidRPr="00344ED6" w:rsidRDefault="002052FC" w:rsidP="00037F6E">
      <w:pPr>
        <w:spacing w:after="0" w:line="276" w:lineRule="auto"/>
        <w:ind w:firstLine="709"/>
        <w:jc w:val="both"/>
        <w:rPr>
          <w:rFonts w:ascii="Times New Roman" w:eastAsia="Times New Roman" w:hAnsi="Times New Roman" w:cs="Times New Roman"/>
          <w:b/>
          <w:sz w:val="24"/>
          <w:szCs w:val="24"/>
          <w:lang w:eastAsia="bg-BG"/>
        </w:rPr>
      </w:pPr>
    </w:p>
    <w:p w14:paraId="7F99D422" w14:textId="4332BDEB" w:rsidR="002052FC" w:rsidRPr="00344ED6" w:rsidRDefault="002052FC" w:rsidP="00037F6E">
      <w:pPr>
        <w:pStyle w:val="ListParagraph"/>
        <w:numPr>
          <w:ilvl w:val="0"/>
          <w:numId w:val="15"/>
        </w:numPr>
        <w:spacing w:line="276" w:lineRule="auto"/>
        <w:ind w:left="1134" w:hanging="425"/>
        <w:contextualSpacing/>
        <w:jc w:val="both"/>
        <w:rPr>
          <w:rFonts w:ascii="Times New Roman" w:eastAsia="Times New Roman" w:hAnsi="Times New Roman" w:cs="Times New Roman"/>
          <w:b/>
          <w:lang w:eastAsia="bg-BG"/>
        </w:rPr>
      </w:pPr>
      <w:r w:rsidRPr="00344ED6">
        <w:rPr>
          <w:rFonts w:ascii="Times New Roman" w:eastAsia="Times New Roman" w:hAnsi="Times New Roman" w:cs="Times New Roman"/>
          <w:b/>
          <w:lang w:eastAsia="bg-BG"/>
        </w:rPr>
        <w:t>Други дейности</w:t>
      </w:r>
    </w:p>
    <w:p w14:paraId="4B6C0E18" w14:textId="77777777" w:rsidR="002052FC" w:rsidRPr="00344ED6" w:rsidRDefault="002052FC" w:rsidP="00037F6E">
      <w:pPr>
        <w:spacing w:after="0" w:line="276" w:lineRule="auto"/>
        <w:ind w:firstLine="709"/>
        <w:jc w:val="both"/>
        <w:rPr>
          <w:rFonts w:ascii="Times New Roman" w:eastAsia="Times New Roman" w:hAnsi="Times New Roman" w:cs="Times New Roman"/>
          <w:i/>
          <w:sz w:val="24"/>
          <w:szCs w:val="24"/>
          <w:lang w:eastAsia="bg-BG"/>
        </w:rPr>
      </w:pPr>
      <w:r w:rsidRPr="00344ED6">
        <w:rPr>
          <w:rFonts w:ascii="Times New Roman" w:eastAsia="Times New Roman" w:hAnsi="Times New Roman" w:cs="Times New Roman"/>
          <w:i/>
          <w:sz w:val="24"/>
          <w:szCs w:val="24"/>
          <w:lang w:eastAsia="bg-BG"/>
        </w:rPr>
        <w:t>Мониторинг на публикации за сделки</w:t>
      </w:r>
    </w:p>
    <w:p w14:paraId="0B657E5F" w14:textId="77777777" w:rsidR="002052FC" w:rsidRPr="00344ED6" w:rsidRDefault="002052FC" w:rsidP="00037F6E">
      <w:pPr>
        <w:spacing w:after="0" w:line="276" w:lineRule="auto"/>
        <w:ind w:firstLine="709"/>
        <w:jc w:val="both"/>
        <w:rPr>
          <w:rFonts w:ascii="Times New Roman" w:eastAsia="Times New Roman" w:hAnsi="Times New Roman" w:cs="Times New Roman"/>
          <w:sz w:val="24"/>
          <w:szCs w:val="24"/>
          <w:lang w:eastAsia="bg-BG"/>
        </w:rPr>
      </w:pPr>
      <w:r w:rsidRPr="00344ED6">
        <w:rPr>
          <w:rFonts w:ascii="Times New Roman" w:eastAsia="Times New Roman" w:hAnsi="Times New Roman" w:cs="Times New Roman"/>
          <w:sz w:val="24"/>
          <w:szCs w:val="24"/>
          <w:lang w:eastAsia="bg-BG"/>
        </w:rPr>
        <w:t xml:space="preserve">В рамките на отчетния период КЗК продължи да следи за публикации в медиите и други източници на информация относно предстоящи и осъществени сделки, с оглед преценката за наличие или липса на достатъчно основания за образуване на производство за евентуално извършено нарушение по ЗЗК – неизпълнение на задължение за предварително уведомяване по смисъла на чл. 24, ал. 1 от ЗЗК. </w:t>
      </w:r>
    </w:p>
    <w:p w14:paraId="4FADB935" w14:textId="77777777" w:rsidR="002052FC" w:rsidRPr="00344ED6" w:rsidRDefault="002052FC" w:rsidP="00037F6E">
      <w:pPr>
        <w:spacing w:after="0" w:line="276" w:lineRule="auto"/>
        <w:ind w:firstLine="709"/>
        <w:jc w:val="both"/>
        <w:rPr>
          <w:rFonts w:ascii="Times New Roman" w:eastAsia="Times New Roman" w:hAnsi="Times New Roman" w:cs="Times New Roman"/>
          <w:i/>
          <w:sz w:val="24"/>
          <w:szCs w:val="24"/>
          <w:lang w:eastAsia="bg-BG"/>
        </w:rPr>
      </w:pPr>
      <w:r w:rsidRPr="00344ED6">
        <w:rPr>
          <w:rFonts w:ascii="Times New Roman" w:eastAsia="Times New Roman" w:hAnsi="Times New Roman" w:cs="Times New Roman"/>
          <w:i/>
          <w:sz w:val="24"/>
          <w:szCs w:val="24"/>
          <w:lang w:eastAsia="bg-BG"/>
        </w:rPr>
        <w:t>Преднотификационни консултации</w:t>
      </w:r>
    </w:p>
    <w:p w14:paraId="58E4B782" w14:textId="77777777" w:rsidR="00783FB3" w:rsidRPr="00344ED6" w:rsidRDefault="002052FC" w:rsidP="00037F6E">
      <w:pPr>
        <w:spacing w:after="0" w:line="276" w:lineRule="auto"/>
        <w:ind w:firstLine="709"/>
        <w:jc w:val="both"/>
        <w:rPr>
          <w:rFonts w:ascii="Times New Roman" w:hAnsi="Times New Roman" w:cs="Times New Roman"/>
          <w:sz w:val="24"/>
          <w:szCs w:val="24"/>
        </w:rPr>
      </w:pPr>
      <w:r w:rsidRPr="00344ED6">
        <w:rPr>
          <w:rFonts w:ascii="Times New Roman" w:eastAsia="Times New Roman" w:hAnsi="Times New Roman" w:cs="Times New Roman"/>
          <w:sz w:val="24"/>
          <w:szCs w:val="24"/>
          <w:lang w:eastAsia="bg-BG"/>
        </w:rPr>
        <w:t>В своята дейност за отчетния период отдел „Концентрации” проведе и предварителни консултации по молба на участници в предстоящи концентрации, с оглед подготовката на уведомления в съответствие с изискванията на чл.79, ал.1 ЗЗК и приетия в края на 2019 г. нов Образец на уведомление и указания за попълване (Решение № 1384/19.12.19 г.).</w:t>
      </w:r>
      <w:r w:rsidRPr="00344ED6">
        <w:rPr>
          <w:sz w:val="24"/>
          <w:szCs w:val="24"/>
        </w:rPr>
        <w:t xml:space="preserve"> </w:t>
      </w:r>
      <w:r w:rsidRPr="00344ED6">
        <w:rPr>
          <w:rFonts w:ascii="Times New Roman" w:hAnsi="Times New Roman" w:cs="Times New Roman"/>
          <w:sz w:val="24"/>
          <w:szCs w:val="24"/>
        </w:rPr>
        <w:t xml:space="preserve">За първото полугодие на 2021 г. бяха проведени общо 5 срещи въз основа на постъпили искания, две от които дистанционно чрез </w:t>
      </w:r>
      <w:r w:rsidRPr="00344ED6">
        <w:rPr>
          <w:rFonts w:ascii="Times New Roman" w:hAnsi="Times New Roman" w:cs="Times New Roman"/>
          <w:sz w:val="24"/>
          <w:szCs w:val="24"/>
          <w:lang w:val="en-US"/>
        </w:rPr>
        <w:t>zoom</w:t>
      </w:r>
      <w:r w:rsidRPr="00344ED6">
        <w:rPr>
          <w:rFonts w:ascii="Times New Roman" w:hAnsi="Times New Roman" w:cs="Times New Roman"/>
          <w:sz w:val="24"/>
          <w:szCs w:val="24"/>
        </w:rPr>
        <w:t xml:space="preserve"> платформа.</w:t>
      </w:r>
    </w:p>
    <w:p w14:paraId="56A71705" w14:textId="7B2BC2FF" w:rsidR="002052FC" w:rsidRPr="00344ED6" w:rsidRDefault="002052FC"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 xml:space="preserve"> </w:t>
      </w:r>
    </w:p>
    <w:p w14:paraId="01358C4A" w14:textId="77777777" w:rsidR="00783FB3" w:rsidRPr="00344ED6" w:rsidRDefault="00783FB3" w:rsidP="00037F6E">
      <w:pPr>
        <w:numPr>
          <w:ilvl w:val="0"/>
          <w:numId w:val="14"/>
        </w:numPr>
        <w:spacing w:after="0" w:line="276" w:lineRule="auto"/>
        <w:ind w:left="643"/>
        <w:contextualSpacing/>
        <w:rPr>
          <w:rFonts w:ascii="Times New Roman" w:eastAsia="Times New Roman" w:hAnsi="Times New Roman" w:cs="Times New Roman"/>
          <w:b/>
          <w:sz w:val="24"/>
          <w:szCs w:val="24"/>
          <w:lang w:eastAsia="bg-BG"/>
        </w:rPr>
      </w:pPr>
      <w:r w:rsidRPr="00344ED6">
        <w:rPr>
          <w:rFonts w:ascii="Times New Roman" w:eastAsia="Times New Roman" w:hAnsi="Times New Roman" w:cs="Times New Roman"/>
          <w:b/>
          <w:sz w:val="24"/>
          <w:szCs w:val="24"/>
          <w:lang w:eastAsia="bg-BG"/>
        </w:rPr>
        <w:t>Секторни анализи (Глава ХI от ЗЗК)</w:t>
      </w:r>
    </w:p>
    <w:p w14:paraId="4AF67934" w14:textId="77777777" w:rsidR="002052FC" w:rsidRPr="00344ED6" w:rsidRDefault="002052FC" w:rsidP="00037F6E">
      <w:pPr>
        <w:spacing w:after="0" w:line="276" w:lineRule="auto"/>
        <w:ind w:firstLine="709"/>
        <w:jc w:val="both"/>
        <w:rPr>
          <w:rFonts w:ascii="Times New Roman" w:hAnsi="Times New Roman" w:cs="Times New Roman"/>
          <w:bCs/>
          <w:sz w:val="24"/>
          <w:szCs w:val="24"/>
        </w:rPr>
      </w:pPr>
      <w:r w:rsidRPr="00344ED6">
        <w:rPr>
          <w:rFonts w:ascii="Times New Roman" w:hAnsi="Times New Roman" w:cs="Times New Roman"/>
          <w:bCs/>
          <w:color w:val="000000"/>
          <w:sz w:val="24"/>
          <w:szCs w:val="24"/>
        </w:rPr>
        <w:t xml:space="preserve">През първото полугодие на 2021 година Комисията продължи активно да работи върху събирането и анализирането на огромен обем информация в рамките на образувания през 2020 г. </w:t>
      </w:r>
      <w:r w:rsidRPr="00344ED6">
        <w:rPr>
          <w:rFonts w:ascii="Times New Roman" w:hAnsi="Times New Roman" w:cs="Times New Roman"/>
          <w:bCs/>
          <w:sz w:val="24"/>
          <w:szCs w:val="24"/>
        </w:rPr>
        <w:t>секторен анализ на конкурентната среда на пазарите на производство, пренос и доставка на топлинна енергия за битови и небитови нужди, както и на свързаните с тях пазар на услугата дялово разпределение и пазар на уреди за дялово разпределение, на територията на страната. В рамките на проучването бяха изпратени писма с искане за предоставяне на информация, становища и данни за предлаганите продукти и услуги на съответните пазари, за цени и ценообразуване, за клиенти, пазарни данни и становища за наличие на проблеми, свързани с функционирането на съответните и с конкурентната среда, до следните групи лица:</w:t>
      </w:r>
    </w:p>
    <w:p w14:paraId="6C94A498" w14:textId="5FC6579D" w:rsidR="002052FC" w:rsidRPr="00344ED6" w:rsidRDefault="00E3148D" w:rsidP="00037F6E">
      <w:pPr>
        <w:numPr>
          <w:ilvl w:val="0"/>
          <w:numId w:val="22"/>
        </w:numPr>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Дружества, извършващи </w:t>
      </w:r>
      <w:r w:rsidR="002052FC" w:rsidRPr="00344ED6">
        <w:rPr>
          <w:rFonts w:ascii="Times New Roman" w:hAnsi="Times New Roman" w:cs="Times New Roman"/>
          <w:bCs/>
          <w:sz w:val="24"/>
          <w:szCs w:val="24"/>
        </w:rPr>
        <w:t>производство, пренос и доставка на топлинна енергия, от които бяха получени общо 14 отговора;</w:t>
      </w:r>
    </w:p>
    <w:p w14:paraId="1D7B39DB" w14:textId="77777777" w:rsidR="002052FC" w:rsidRPr="00344ED6" w:rsidRDefault="002052FC" w:rsidP="00037F6E">
      <w:pPr>
        <w:numPr>
          <w:ilvl w:val="0"/>
          <w:numId w:val="22"/>
        </w:numPr>
        <w:tabs>
          <w:tab w:val="left" w:pos="993"/>
        </w:tabs>
        <w:spacing w:after="0" w:line="276" w:lineRule="auto"/>
        <w:ind w:left="0" w:firstLine="709"/>
        <w:jc w:val="both"/>
        <w:rPr>
          <w:rFonts w:ascii="Times New Roman" w:hAnsi="Times New Roman" w:cs="Times New Roman"/>
          <w:bCs/>
          <w:sz w:val="24"/>
          <w:szCs w:val="24"/>
        </w:rPr>
      </w:pPr>
      <w:r w:rsidRPr="00344ED6">
        <w:rPr>
          <w:rFonts w:ascii="Times New Roman" w:hAnsi="Times New Roman" w:cs="Times New Roman"/>
          <w:bCs/>
          <w:sz w:val="24"/>
          <w:szCs w:val="24"/>
        </w:rPr>
        <w:t>Дружества, извършващи дялово разпределение, от които бяха получени общо 31 отговора;</w:t>
      </w:r>
    </w:p>
    <w:p w14:paraId="1B6749EC" w14:textId="77777777" w:rsidR="002052FC" w:rsidRPr="00344ED6" w:rsidRDefault="002052FC" w:rsidP="00037F6E">
      <w:pPr>
        <w:numPr>
          <w:ilvl w:val="0"/>
          <w:numId w:val="22"/>
        </w:numPr>
        <w:tabs>
          <w:tab w:val="left" w:pos="993"/>
        </w:tabs>
        <w:spacing w:after="0" w:line="276" w:lineRule="auto"/>
        <w:ind w:left="0" w:firstLine="709"/>
        <w:jc w:val="both"/>
        <w:rPr>
          <w:rFonts w:ascii="Times New Roman" w:hAnsi="Times New Roman" w:cs="Times New Roman"/>
          <w:bCs/>
          <w:sz w:val="24"/>
          <w:szCs w:val="24"/>
        </w:rPr>
      </w:pPr>
      <w:r w:rsidRPr="00344ED6">
        <w:rPr>
          <w:rFonts w:ascii="Times New Roman" w:hAnsi="Times New Roman" w:cs="Times New Roman"/>
          <w:bCs/>
          <w:sz w:val="24"/>
          <w:szCs w:val="24"/>
        </w:rPr>
        <w:t>Браншови организации, от които беше получен един отговор;</w:t>
      </w:r>
    </w:p>
    <w:p w14:paraId="648BA186" w14:textId="77777777" w:rsidR="002052FC" w:rsidRPr="00344ED6" w:rsidRDefault="002052FC" w:rsidP="00037F6E">
      <w:pPr>
        <w:numPr>
          <w:ilvl w:val="0"/>
          <w:numId w:val="22"/>
        </w:numPr>
        <w:tabs>
          <w:tab w:val="left" w:pos="993"/>
        </w:tabs>
        <w:spacing w:after="0" w:line="276" w:lineRule="auto"/>
        <w:ind w:left="0" w:firstLine="709"/>
        <w:jc w:val="both"/>
        <w:rPr>
          <w:rFonts w:ascii="Times New Roman" w:hAnsi="Times New Roman" w:cs="Times New Roman"/>
          <w:bCs/>
          <w:sz w:val="24"/>
          <w:szCs w:val="24"/>
        </w:rPr>
      </w:pPr>
      <w:r w:rsidRPr="00344ED6">
        <w:rPr>
          <w:rFonts w:ascii="Times New Roman" w:hAnsi="Times New Roman" w:cs="Times New Roman"/>
          <w:bCs/>
          <w:sz w:val="24"/>
          <w:szCs w:val="24"/>
        </w:rPr>
        <w:t>Държавни органи, от които бяха получени два отговора.</w:t>
      </w:r>
    </w:p>
    <w:p w14:paraId="5BC073C2" w14:textId="77777777" w:rsidR="002052FC" w:rsidRPr="00344ED6" w:rsidRDefault="002052FC" w:rsidP="00037F6E">
      <w:pPr>
        <w:spacing w:after="0" w:line="276" w:lineRule="auto"/>
        <w:ind w:firstLine="709"/>
        <w:jc w:val="both"/>
        <w:rPr>
          <w:rFonts w:ascii="Times New Roman" w:hAnsi="Times New Roman" w:cs="Times New Roman"/>
          <w:bCs/>
          <w:sz w:val="24"/>
          <w:szCs w:val="24"/>
        </w:rPr>
      </w:pPr>
      <w:r w:rsidRPr="00344ED6">
        <w:rPr>
          <w:rFonts w:ascii="Times New Roman" w:hAnsi="Times New Roman" w:cs="Times New Roman"/>
          <w:bCs/>
          <w:sz w:val="24"/>
          <w:szCs w:val="24"/>
        </w:rPr>
        <w:t>Към момента събраната информация се анализира, като основен фокус на Комисията е да бъдат ясно очертани спецификите при всяка една дейност по топлоснабдяването, дефиниране на правата, задълженията и интересите на всички участници на съответните пазари и на техните клиенти или контрагенти, установяването на евентуални проблеми с конкурентноправен характер и отправянето на препоръки за подобряване на конкурентната среда.</w:t>
      </w:r>
    </w:p>
    <w:p w14:paraId="0125D0C4" w14:textId="77777777" w:rsidR="002052FC" w:rsidRPr="00344ED6" w:rsidRDefault="002052FC" w:rsidP="00037F6E">
      <w:pPr>
        <w:spacing w:after="0" w:line="276" w:lineRule="auto"/>
        <w:ind w:firstLine="709"/>
        <w:jc w:val="both"/>
        <w:rPr>
          <w:rFonts w:ascii="Times New Roman" w:hAnsi="Times New Roman" w:cs="Times New Roman"/>
          <w:bCs/>
          <w:sz w:val="24"/>
          <w:szCs w:val="24"/>
        </w:rPr>
      </w:pPr>
      <w:r w:rsidRPr="00344ED6">
        <w:rPr>
          <w:rFonts w:ascii="Times New Roman" w:hAnsi="Times New Roman" w:cs="Times New Roman"/>
          <w:bCs/>
          <w:sz w:val="24"/>
          <w:szCs w:val="24"/>
        </w:rPr>
        <w:t xml:space="preserve">Въз основа на получената информация се установява, че за някои от дейностите на топлоснабдяването са налице съществени бариери за навлизане на нови участници. Така например при  преноса нормативната уредба предвижда издаването само на една лицензия за съответната обособена територия, а при доставката на топлинна енергия в нито една лицензионна територия не оперира алтернативен доставчик на топлинна енергия. </w:t>
      </w:r>
    </w:p>
    <w:p w14:paraId="22C6A946" w14:textId="77777777" w:rsidR="002052FC" w:rsidRPr="00344ED6" w:rsidRDefault="002052FC" w:rsidP="00037F6E">
      <w:pPr>
        <w:spacing w:after="0" w:line="276" w:lineRule="auto"/>
        <w:ind w:firstLine="709"/>
        <w:jc w:val="both"/>
        <w:rPr>
          <w:rFonts w:ascii="Times New Roman" w:hAnsi="Times New Roman" w:cs="Times New Roman"/>
          <w:bCs/>
          <w:sz w:val="24"/>
          <w:szCs w:val="24"/>
        </w:rPr>
      </w:pPr>
      <w:r w:rsidRPr="00344ED6">
        <w:rPr>
          <w:rFonts w:ascii="Times New Roman" w:hAnsi="Times New Roman" w:cs="Times New Roman"/>
          <w:bCs/>
          <w:sz w:val="24"/>
          <w:szCs w:val="24"/>
        </w:rPr>
        <w:t>Най-ниски бариери за навлизане се наблюдават при пазара на дялово разпределение, при който е предвиден регистрационен режим. В процеса на извършване на секторния анализ се откроиха някои практики  и с оглед основните характеристики на дейността, както и спецификите на всяка отделна лицензионна територия, на която оперират различните топлинни счетоводители. Комисията фокусира своя анализ като проучва конкурентната среда на всяка територия самостоятелно, отчитайки действието на пазарните сили за всеки отделен географски пазар.</w:t>
      </w:r>
    </w:p>
    <w:p w14:paraId="666F72DE" w14:textId="3A789AF7" w:rsidR="009A56EE" w:rsidRPr="00344ED6" w:rsidRDefault="009A56EE" w:rsidP="00037F6E">
      <w:pPr>
        <w:spacing w:after="0" w:line="276" w:lineRule="auto"/>
        <w:jc w:val="both"/>
        <w:rPr>
          <w:rFonts w:ascii="Times New Roman" w:eastAsia="Times New Roman" w:hAnsi="Times New Roman" w:cs="Times New Roman"/>
          <w:sz w:val="24"/>
          <w:szCs w:val="24"/>
          <w:lang w:eastAsia="bg-BG"/>
        </w:rPr>
      </w:pPr>
    </w:p>
    <w:p w14:paraId="1C010BC6" w14:textId="2907DFF8" w:rsidR="007954E2" w:rsidRPr="00344ED6" w:rsidRDefault="003B381F" w:rsidP="00037F6E">
      <w:pPr>
        <w:pStyle w:val="ListParagraph"/>
        <w:numPr>
          <w:ilvl w:val="0"/>
          <w:numId w:val="12"/>
        </w:numPr>
        <w:spacing w:line="276" w:lineRule="auto"/>
        <w:ind w:left="1134" w:hanging="425"/>
        <w:jc w:val="both"/>
        <w:rPr>
          <w:rFonts w:ascii="Times New Roman" w:hAnsi="Times New Roman" w:cs="Times New Roman"/>
          <w:b/>
          <w:color w:val="000000" w:themeColor="text1"/>
        </w:rPr>
      </w:pPr>
      <w:r w:rsidRPr="00344ED6">
        <w:rPr>
          <w:rFonts w:ascii="Times New Roman" w:hAnsi="Times New Roman" w:cs="Times New Roman"/>
          <w:b/>
          <w:color w:val="000000" w:themeColor="text1"/>
        </w:rPr>
        <w:t xml:space="preserve">Решения и Определения по </w:t>
      </w:r>
      <w:r w:rsidRPr="00344ED6">
        <w:rPr>
          <w:rFonts w:ascii="Times New Roman" w:hAnsi="Times New Roman" w:cs="Times New Roman"/>
          <w:b/>
        </w:rPr>
        <w:t xml:space="preserve"> Глава VІІ  и по Глава VІІа от ЗЗК</w:t>
      </w:r>
    </w:p>
    <w:p w14:paraId="742CE922" w14:textId="1339348A" w:rsidR="004E09FD" w:rsidRPr="00344ED6" w:rsidRDefault="007954E2" w:rsidP="00037F6E">
      <w:pPr>
        <w:pStyle w:val="ListParagraph"/>
        <w:numPr>
          <w:ilvl w:val="0"/>
          <w:numId w:val="13"/>
        </w:numPr>
        <w:spacing w:line="276" w:lineRule="auto"/>
        <w:ind w:left="1134" w:hanging="425"/>
        <w:jc w:val="both"/>
        <w:rPr>
          <w:rFonts w:ascii="Times New Roman" w:hAnsi="Times New Roman" w:cs="Times New Roman"/>
          <w:b/>
          <w:color w:val="000000" w:themeColor="text1"/>
        </w:rPr>
      </w:pPr>
      <w:r w:rsidRPr="00344ED6">
        <w:rPr>
          <w:rFonts w:ascii="Times New Roman" w:hAnsi="Times New Roman" w:cs="Times New Roman"/>
          <w:b/>
          <w:color w:val="000000" w:themeColor="text1"/>
        </w:rPr>
        <w:t>Образувани производства:</w:t>
      </w:r>
    </w:p>
    <w:p w14:paraId="79F8BF93"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През посочения период в Комисията са образувани общо 32 (тридесет и две) производства, имащи за цел да установят наличието или липсата на нарушения по Глава VІІ от ЗЗК „Нелоялна конкуренция“ 30 (тридесет производства) и по Глава VІІа от ЗЗК „Злоупотреба с по-силна позиция при договаряне“ 2 (две производства). От тях 24 (</w:t>
      </w:r>
      <w:r w:rsidRPr="00344ED6">
        <w:rPr>
          <w:rFonts w:ascii="Times New Roman" w:hAnsi="Times New Roman" w:cs="Times New Roman"/>
          <w:sz w:val="24"/>
          <w:szCs w:val="24"/>
          <w:lang w:val="en-US"/>
        </w:rPr>
        <w:t>двадесет и четири</w:t>
      </w:r>
      <w:r w:rsidRPr="00344ED6">
        <w:rPr>
          <w:rFonts w:ascii="Times New Roman" w:hAnsi="Times New Roman" w:cs="Times New Roman"/>
          <w:sz w:val="24"/>
          <w:szCs w:val="24"/>
        </w:rPr>
        <w:t>) са образувани по искане на лица, чиито интереси са засегнати или застрашени от нарушение на ЗЗК, 3 (три) на основание чл. 38, ал. 1, т. 1 от ЗЗК с Решение на КЗК (самосезиране) и 5 (пет) върнати от ВАС за ново разглеждане.</w:t>
      </w:r>
    </w:p>
    <w:p w14:paraId="56DA5EEA" w14:textId="77777777" w:rsidR="004E09FD" w:rsidRPr="00344ED6" w:rsidRDefault="004E09FD" w:rsidP="00037F6E">
      <w:pPr>
        <w:spacing w:after="0" w:line="276" w:lineRule="auto"/>
        <w:ind w:firstLine="709"/>
        <w:jc w:val="both"/>
        <w:rPr>
          <w:rFonts w:ascii="Times New Roman" w:hAnsi="Times New Roman" w:cs="Times New Roman"/>
          <w:sz w:val="24"/>
          <w:szCs w:val="24"/>
        </w:rPr>
      </w:pPr>
    </w:p>
    <w:p w14:paraId="1278223C" w14:textId="4B5E43E6" w:rsidR="004E09FD" w:rsidRPr="00344ED6" w:rsidRDefault="004E09FD" w:rsidP="00037F6E">
      <w:pPr>
        <w:pStyle w:val="ListParagraph"/>
        <w:numPr>
          <w:ilvl w:val="0"/>
          <w:numId w:val="13"/>
        </w:numPr>
        <w:spacing w:line="276" w:lineRule="auto"/>
        <w:ind w:left="1134" w:hanging="425"/>
        <w:jc w:val="both"/>
        <w:rPr>
          <w:rFonts w:ascii="Times New Roman" w:hAnsi="Times New Roman" w:cs="Times New Roman"/>
          <w:b/>
        </w:rPr>
      </w:pPr>
      <w:r w:rsidRPr="00344ED6">
        <w:rPr>
          <w:rFonts w:ascii="Times New Roman" w:hAnsi="Times New Roman" w:cs="Times New Roman"/>
          <w:b/>
        </w:rPr>
        <w:t>Постановени решения:</w:t>
      </w:r>
    </w:p>
    <w:p w14:paraId="25C60881"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През същия период Комисията постанови общо 30 (тридесет) решения във връзка с прилагането на Глава VІІ (25 решения) и Глава VІІа (5 решения) от ЗЗК, в това число 3 (три) решения за образуване на производство по собствена инициатива.</w:t>
      </w:r>
    </w:p>
    <w:p w14:paraId="3940F2E3"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 xml:space="preserve">С 13 (тринадесет) от постановените решения Комисията установява общо 16 (шестнадесет) извършени нарушения, представляващи нелоялна конкуренция от страна </w:t>
      </w:r>
      <w:r w:rsidRPr="00344ED6">
        <w:rPr>
          <w:rFonts w:ascii="Times New Roman" w:hAnsi="Times New Roman" w:cs="Times New Roman"/>
          <w:sz w:val="24"/>
          <w:szCs w:val="24"/>
        </w:rPr>
        <w:lastRenderedPageBreak/>
        <w:t>на ответни предприятия. С едно от решенията Комисията налага имуществена санкция за неизпълнение на решение на КЗК, а с друго прекратява производството.</w:t>
      </w:r>
    </w:p>
    <w:p w14:paraId="0BB2C6E2" w14:textId="76E81F6F"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а) на основание чл. 98, ал. 1, т. 1 от ЗЗК</w:t>
      </w:r>
      <w:r w:rsidR="0046743B">
        <w:rPr>
          <w:rFonts w:ascii="Times New Roman" w:hAnsi="Times New Roman" w:cs="Times New Roman"/>
          <w:sz w:val="24"/>
          <w:szCs w:val="24"/>
        </w:rPr>
        <w:t>,</w:t>
      </w:r>
      <w:r w:rsidRPr="00344ED6">
        <w:rPr>
          <w:rFonts w:ascii="Times New Roman" w:hAnsi="Times New Roman" w:cs="Times New Roman"/>
          <w:sz w:val="24"/>
          <w:szCs w:val="24"/>
        </w:rPr>
        <w:t xml:space="preserve"> Комисията установява извършеното нарушение и нарушителя по някоя от разпоредбите на Глава VІІ и Глава VІІ „а“ от ЗЗК – 14 решения;</w:t>
      </w:r>
    </w:p>
    <w:p w14:paraId="64848C77"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б) на основание чл. 98, ал. 1, т. 3 от ЗЗК, Комисията установява, че не е извършено нарушение по разпоредбите на Глава VІІ и Глава VІІ „а“ от ЗЗК – 12 решения;</w:t>
      </w:r>
    </w:p>
    <w:p w14:paraId="4C0D8C31" w14:textId="69B2C12D"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в) на основание чл. 38, ал. 1, т. 1 от ЗЗК</w:t>
      </w:r>
      <w:r w:rsidR="0046743B">
        <w:rPr>
          <w:rFonts w:ascii="Times New Roman" w:hAnsi="Times New Roman" w:cs="Times New Roman"/>
          <w:sz w:val="24"/>
          <w:szCs w:val="24"/>
        </w:rPr>
        <w:t>,</w:t>
      </w:r>
      <w:r w:rsidRPr="00344ED6">
        <w:rPr>
          <w:rFonts w:ascii="Times New Roman" w:hAnsi="Times New Roman" w:cs="Times New Roman"/>
          <w:sz w:val="24"/>
          <w:szCs w:val="24"/>
        </w:rPr>
        <w:t xml:space="preserve"> Комисията образува производство – 3 решения;</w:t>
      </w:r>
    </w:p>
    <w:p w14:paraId="3EC82145" w14:textId="1911392F"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г) на основание чл. 98, ал. 2, т. 5 от ЗЗК прекратява производството – 1 решение.</w:t>
      </w:r>
    </w:p>
    <w:p w14:paraId="1EB13C5E" w14:textId="77777777" w:rsidR="004E09FD" w:rsidRPr="00344ED6" w:rsidRDefault="004E09FD" w:rsidP="00037F6E">
      <w:pPr>
        <w:spacing w:after="0" w:line="276" w:lineRule="auto"/>
        <w:ind w:firstLine="709"/>
        <w:jc w:val="both"/>
        <w:rPr>
          <w:rFonts w:ascii="Times New Roman" w:hAnsi="Times New Roman" w:cs="Times New Roman"/>
          <w:sz w:val="24"/>
          <w:szCs w:val="24"/>
        </w:rPr>
      </w:pPr>
    </w:p>
    <w:p w14:paraId="1065B5FF" w14:textId="577AF2E8" w:rsidR="004E09FD" w:rsidRPr="00344ED6" w:rsidRDefault="004E09FD" w:rsidP="00037F6E">
      <w:pPr>
        <w:pStyle w:val="ListParagraph"/>
        <w:numPr>
          <w:ilvl w:val="0"/>
          <w:numId w:val="13"/>
        </w:numPr>
        <w:spacing w:line="276" w:lineRule="auto"/>
        <w:ind w:left="1134" w:hanging="425"/>
        <w:jc w:val="both"/>
        <w:rPr>
          <w:rFonts w:ascii="Times New Roman" w:hAnsi="Times New Roman" w:cs="Times New Roman"/>
          <w:b/>
        </w:rPr>
      </w:pPr>
      <w:r w:rsidRPr="00344ED6">
        <w:rPr>
          <w:rFonts w:ascii="Times New Roman" w:hAnsi="Times New Roman" w:cs="Times New Roman"/>
          <w:b/>
        </w:rPr>
        <w:t>Наложени имуществени санкции и глоби</w:t>
      </w:r>
    </w:p>
    <w:p w14:paraId="2903B4EE"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 xml:space="preserve">С 14 (четиринадесет) решения Комисията е наложила имуществени санкции и/или глоби общо в размер на 560 015 лв. за извършени нарушения по Глава VІІ (543 312 лв.) и Глава VІІ „а“ (2 576) от ЗЗК, за неизпълнение на решение на КЗК -периодична санкция (14 127 лв.) . </w:t>
      </w:r>
    </w:p>
    <w:p w14:paraId="0E40D845"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През отчетния период Комисията е наложила имуществени санкции и/или глоби, както следва:</w:t>
      </w:r>
    </w:p>
    <w:p w14:paraId="68B57F51"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 за нарушение на общата забрана за извършване на нелоялна конкуренция по чл. 29 от ЗЗК – в общ размер 10 150 лв.;</w:t>
      </w:r>
    </w:p>
    <w:p w14:paraId="15E245BB"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 за нарушение на забраната за увреждане на доброто име по чл. 30 – в общ размер 658 лв.</w:t>
      </w:r>
    </w:p>
    <w:p w14:paraId="2499E1B7"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 за нарушение на забраната за въвеждане в заблуждение по чл. 31 – в общ размер 13 124 лв.;</w:t>
      </w:r>
    </w:p>
    <w:p w14:paraId="3E74E799"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 за нарушение на забраната за заблуждаваща и сравнителна реклама – в общ размер 492 590 лв.;</w:t>
      </w:r>
    </w:p>
    <w:p w14:paraId="25E5A250"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 за нарушение на забраната за имитация по чл. 35 – в общ размер 12 620 лв.;</w:t>
      </w:r>
    </w:p>
    <w:p w14:paraId="7590A6B5"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 - за нарушение на забраната за нелоялно привличане на клиенти по чл. 36 – в общ размер 14 170 лв.;</w:t>
      </w:r>
    </w:p>
    <w:p w14:paraId="4958712E"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 за неизпълнение на решение на КЗК на основание чл. 100, ал. 9, т. 1 – периодична санкция, възлизаща в общ размера на 0,05 % (нула цяло и пет стотни процента) от среднодневния общ оборот, равняваща се на 51 лв. (петдесет и един лева) за всеки ден неизпълнение или 14127 лв. (четиринадесет хиляди сто двадесет и седем лева);</w:t>
      </w:r>
    </w:p>
    <w:p w14:paraId="60FABC43"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 за нарушение</w:t>
      </w:r>
      <w:r w:rsidRPr="00344ED6">
        <w:rPr>
          <w:rFonts w:ascii="Times New Roman" w:hAnsi="Times New Roman" w:cs="Times New Roman"/>
          <w:sz w:val="24"/>
          <w:szCs w:val="24"/>
          <w:lang w:val="en-US"/>
        </w:rPr>
        <w:t>,</w:t>
      </w:r>
      <w:r w:rsidRPr="00344ED6">
        <w:rPr>
          <w:rFonts w:ascii="Times New Roman" w:hAnsi="Times New Roman" w:cs="Times New Roman"/>
          <w:sz w:val="24"/>
          <w:szCs w:val="24"/>
        </w:rPr>
        <w:t xml:space="preserve"> свързано с възможността от увреждане на интересите на по-слабата страна при договарянето и на потребителите по чл. 37а, ал. 1 – в общ размер – 2 576 лв.</w:t>
      </w:r>
    </w:p>
    <w:p w14:paraId="0E154C48" w14:textId="4CF93392" w:rsidR="004E09FD" w:rsidRPr="00344ED6" w:rsidRDefault="004E09FD" w:rsidP="00037F6E">
      <w:pPr>
        <w:spacing w:after="0" w:line="276" w:lineRule="auto"/>
        <w:ind w:left="1134" w:hanging="425"/>
        <w:jc w:val="both"/>
        <w:rPr>
          <w:rFonts w:ascii="Times New Roman" w:hAnsi="Times New Roman" w:cs="Times New Roman"/>
          <w:b/>
          <w:sz w:val="24"/>
          <w:szCs w:val="24"/>
        </w:rPr>
      </w:pPr>
      <w:r w:rsidRPr="00344ED6">
        <w:rPr>
          <w:rFonts w:ascii="Times New Roman" w:hAnsi="Times New Roman" w:cs="Times New Roman"/>
          <w:b/>
          <w:sz w:val="24"/>
          <w:szCs w:val="24"/>
        </w:rPr>
        <w:t>- Най-чести нарушения</w:t>
      </w:r>
    </w:p>
    <w:p w14:paraId="621C15E2"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 xml:space="preserve">Най-честите нарушения в областта на нелоялната конкуренция, установени през първото полугодие на 2021 г., са свързани с нарушения по чл. 35 от ЗЗК (имитация), следвани от нарушения по чл. 31 (въвеждане в заблуждение и/или изопачаване на </w:t>
      </w:r>
      <w:r w:rsidRPr="00344ED6">
        <w:rPr>
          <w:rFonts w:ascii="Times New Roman" w:hAnsi="Times New Roman" w:cs="Times New Roman"/>
          <w:sz w:val="24"/>
          <w:szCs w:val="24"/>
        </w:rPr>
        <w:lastRenderedPageBreak/>
        <w:t>факти) и заблуждаваща и сравнителна реклама по чл. 32 във вр. с чл.33 от ЗЗК и нелоялно привличане на клиенти по чл. 36 от ЗЗК.</w:t>
      </w:r>
    </w:p>
    <w:p w14:paraId="6A8073FD" w14:textId="77777777"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През първата половина на 2021 г. са образувани три производства по инициатива на Комисията.</w:t>
      </w:r>
    </w:p>
    <w:p w14:paraId="485EA1A0" w14:textId="679B03DE" w:rsidR="004E09FD" w:rsidRPr="00344ED6" w:rsidRDefault="004E09FD"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В началото на годината в работна група с участие на служителите от дирекцията се извършиха окончателните дейности, свързани с изготвянето и представянето на законопроекта за изменение и допълнение на ЗЗК във връзка с транспонирането на Директива (ЕС) 2019/633 на Европейския парламент и на Съвета относно нелоялните търговски практики в отношенията между стопанските субекти във веригата за доставка на селскостопански и хранителни продукти. Измененията са приети от Народното събрание така, както са предложени и законът е обнародван в ДВ на 26.02.2021 г.</w:t>
      </w:r>
    </w:p>
    <w:p w14:paraId="6A6BD42D" w14:textId="77777777" w:rsidR="006646D4" w:rsidRPr="00344ED6" w:rsidRDefault="006646D4" w:rsidP="00037F6E">
      <w:pPr>
        <w:spacing w:after="0" w:line="276" w:lineRule="auto"/>
        <w:jc w:val="both"/>
        <w:rPr>
          <w:rFonts w:ascii="Times New Roman" w:hAnsi="Times New Roman" w:cs="Times New Roman"/>
          <w:color w:val="2E74B5" w:themeColor="accent1" w:themeShade="BF"/>
        </w:rPr>
      </w:pPr>
    </w:p>
    <w:p w14:paraId="45B7BD60" w14:textId="6059D443" w:rsidR="00B21CAC" w:rsidRDefault="00C233D6" w:rsidP="00037F6E">
      <w:pPr>
        <w:pStyle w:val="ListParagraph"/>
        <w:numPr>
          <w:ilvl w:val="0"/>
          <w:numId w:val="6"/>
        </w:numPr>
        <w:spacing w:line="276" w:lineRule="auto"/>
        <w:ind w:left="0" w:firstLine="360"/>
        <w:jc w:val="both"/>
        <w:rPr>
          <w:rFonts w:ascii="Times New Roman" w:hAnsi="Times New Roman" w:cs="Times New Roman"/>
          <w:b/>
          <w:color w:val="000000" w:themeColor="text1"/>
        </w:rPr>
      </w:pPr>
      <w:r w:rsidRPr="00344ED6">
        <w:rPr>
          <w:rFonts w:ascii="Times New Roman" w:hAnsi="Times New Roman" w:cs="Times New Roman"/>
          <w:b/>
          <w:color w:val="000000" w:themeColor="text1"/>
        </w:rPr>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344ED6">
        <w:rPr>
          <w:rFonts w:ascii="Times New Roman" w:hAnsi="Times New Roman" w:cs="Times New Roman"/>
          <w:b/>
          <w:color w:val="000000" w:themeColor="text1"/>
        </w:rPr>
        <w:t>озиции и други</w:t>
      </w:r>
      <w:r w:rsidR="00B21CAC" w:rsidRPr="00344ED6">
        <w:rPr>
          <w:rFonts w:ascii="Times New Roman" w:hAnsi="Times New Roman" w:cs="Times New Roman"/>
          <w:b/>
          <w:color w:val="000000" w:themeColor="text1"/>
        </w:rPr>
        <w:t>:</w:t>
      </w:r>
    </w:p>
    <w:p w14:paraId="7130EBFF" w14:textId="77777777" w:rsidR="00037F6E" w:rsidRPr="00344ED6" w:rsidRDefault="00037F6E" w:rsidP="00037F6E">
      <w:pPr>
        <w:pStyle w:val="ListParagraph"/>
        <w:spacing w:line="276" w:lineRule="auto"/>
        <w:ind w:left="360"/>
        <w:jc w:val="both"/>
        <w:rPr>
          <w:rFonts w:ascii="Times New Roman" w:hAnsi="Times New Roman" w:cs="Times New Roman"/>
          <w:b/>
          <w:color w:val="000000" w:themeColor="text1"/>
        </w:rPr>
      </w:pPr>
    </w:p>
    <w:p w14:paraId="789CB0F8" w14:textId="77777777" w:rsidR="00094591" w:rsidRPr="00344ED6" w:rsidRDefault="00094591" w:rsidP="00037F6E">
      <w:pPr>
        <w:numPr>
          <w:ilvl w:val="0"/>
          <w:numId w:val="9"/>
        </w:numPr>
        <w:spacing w:after="0" w:line="276" w:lineRule="auto"/>
        <w:ind w:left="1134" w:hanging="425"/>
        <w:jc w:val="both"/>
        <w:rPr>
          <w:rFonts w:ascii="Times New Roman" w:hAnsi="Times New Roman" w:cs="Times New Roman"/>
          <w:sz w:val="24"/>
          <w:szCs w:val="24"/>
        </w:rPr>
      </w:pPr>
      <w:r w:rsidRPr="00344ED6">
        <w:rPr>
          <w:rFonts w:ascii="Times New Roman" w:hAnsi="Times New Roman" w:cs="Times New Roman"/>
          <w:b/>
          <w:sz w:val="24"/>
          <w:szCs w:val="24"/>
        </w:rPr>
        <w:t>Застъпничество за конкуренцията</w:t>
      </w:r>
    </w:p>
    <w:p w14:paraId="2E3E1C3F" w14:textId="77777777" w:rsidR="00094591" w:rsidRPr="00344ED6" w:rsidRDefault="00094591" w:rsidP="00037F6E">
      <w:pPr>
        <w:spacing w:after="0" w:line="276" w:lineRule="auto"/>
        <w:ind w:firstLine="708"/>
        <w:jc w:val="both"/>
        <w:rPr>
          <w:rFonts w:ascii="Times New Roman" w:hAnsi="Times New Roman" w:cs="Times New Roman"/>
          <w:sz w:val="24"/>
          <w:szCs w:val="24"/>
        </w:rPr>
      </w:pPr>
      <w:r w:rsidRPr="00344ED6">
        <w:rPr>
          <w:rFonts w:ascii="Times New Roman" w:hAnsi="Times New Roman" w:cs="Times New Roman"/>
          <w:sz w:val="24"/>
          <w:szCs w:val="24"/>
        </w:rPr>
        <w:t>Във връзка с правомощията на КЗК по застъпничество за конкуренцията съгласно чл. 28 от ЗЗК през</w:t>
      </w:r>
      <w:r w:rsidRPr="00344ED6">
        <w:rPr>
          <w:rFonts w:ascii="Times New Roman" w:hAnsi="Times New Roman" w:cs="Times New Roman"/>
          <w:b/>
          <w:sz w:val="24"/>
          <w:szCs w:val="24"/>
        </w:rPr>
        <w:t xml:space="preserve"> първата половина на 2021 г.</w:t>
      </w:r>
      <w:r w:rsidRPr="00344ED6">
        <w:rPr>
          <w:rFonts w:ascii="Times New Roman" w:hAnsi="Times New Roman" w:cs="Times New Roman"/>
          <w:sz w:val="24"/>
          <w:szCs w:val="24"/>
        </w:rPr>
        <w:t xml:space="preserve"> е образувано </w:t>
      </w:r>
      <w:r w:rsidRPr="00344ED6">
        <w:rPr>
          <w:rFonts w:ascii="Times New Roman" w:hAnsi="Times New Roman" w:cs="Times New Roman"/>
          <w:b/>
          <w:sz w:val="24"/>
          <w:szCs w:val="24"/>
        </w:rPr>
        <w:t>1 производство по искане на държавен орган -</w:t>
      </w:r>
      <w:r w:rsidRPr="00344ED6">
        <w:rPr>
          <w:rFonts w:ascii="Times New Roman" w:hAnsi="Times New Roman" w:cs="Times New Roman"/>
          <w:sz w:val="24"/>
          <w:szCs w:val="24"/>
        </w:rPr>
        <w:t xml:space="preserve"> Комисия за регулиране на съобщенията (КРС). Искането на КРС бе за изготвяне на становище от КЗК относно съдържащите се в Проект на годишен доклад на КРС за 2020 г. текстове, в които е извършен преглед на състоянието и оценка за развитието на конкуренцията на пазарите на електронни съобщителни мрежи и/или услуги.</w:t>
      </w:r>
    </w:p>
    <w:p w14:paraId="1FCE63FF" w14:textId="77777777" w:rsidR="00094591" w:rsidRPr="00344ED6" w:rsidRDefault="00094591" w:rsidP="00037F6E">
      <w:pPr>
        <w:spacing w:after="0" w:line="276" w:lineRule="auto"/>
        <w:ind w:firstLine="708"/>
        <w:jc w:val="both"/>
        <w:rPr>
          <w:rFonts w:ascii="Times New Roman" w:hAnsi="Times New Roman" w:cs="Times New Roman"/>
          <w:sz w:val="24"/>
          <w:szCs w:val="24"/>
        </w:rPr>
      </w:pPr>
      <w:r w:rsidRPr="00344ED6">
        <w:rPr>
          <w:rFonts w:ascii="Times New Roman" w:hAnsi="Times New Roman" w:cs="Times New Roman"/>
          <w:sz w:val="24"/>
          <w:szCs w:val="24"/>
        </w:rPr>
        <w:t>В Закона за електронните съобщения (ЗЕС) е предвидено задължение за КРС да изготвя ежегоден доклад с нормативно установено в чл. 38, ал. 1 съдържание. В доклада следва да бъде анализирана конкуренцията на пазарите на електронни съобщителни мрежи и/или услуги. В представеният в КЗК Проект на годишен доклад на КРС бяха разгледани подробно структурата и състоянието на българския пазар на електронни съобщения, динамиката на неговото развитие и преструктуриране.</w:t>
      </w:r>
    </w:p>
    <w:p w14:paraId="4BDEEF93" w14:textId="77777777" w:rsidR="00094591" w:rsidRPr="00344ED6" w:rsidRDefault="00094591"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i/>
          <w:sz w:val="24"/>
          <w:szCs w:val="24"/>
        </w:rPr>
        <w:t xml:space="preserve"> </w:t>
      </w:r>
      <w:r w:rsidRPr="00344ED6">
        <w:rPr>
          <w:rFonts w:ascii="Times New Roman" w:hAnsi="Times New Roman" w:cs="Times New Roman"/>
          <w:sz w:val="24"/>
          <w:szCs w:val="24"/>
        </w:rPr>
        <w:t>След извършен анализ на текстовете на доклада КЗК постанови Решение 638/17.06.2021 г., в което направи заключение, че оценката за развитието на конкуренцията на пазарите на електронни съобщения, съдържаща се в Проект на годишен доклад на КРС за 2020 година, показва засилване на конкуренцията, което ще доведе до насърчаване на инвестициите в сектора и ще увеличи благосъстоянието на потребителите. КЗК отчете, че на пазарите на пренос на данни и достъп до интернет и на пазарите на услуги за пренос и/или разпространение на радио- и телевизионни програми се наблюдава конкуренция между много участници на пазара. По отношение на пазарите на предоставяне на</w:t>
      </w:r>
    </w:p>
    <w:p w14:paraId="1CBE8A8B" w14:textId="509B98C8" w:rsidR="00094591" w:rsidRDefault="00094591" w:rsidP="00037F6E">
      <w:pPr>
        <w:spacing w:after="0" w:line="276" w:lineRule="auto"/>
        <w:jc w:val="both"/>
        <w:rPr>
          <w:rFonts w:ascii="Times New Roman" w:hAnsi="Times New Roman" w:cs="Times New Roman"/>
          <w:sz w:val="24"/>
          <w:szCs w:val="24"/>
        </w:rPr>
      </w:pPr>
      <w:r w:rsidRPr="00344ED6">
        <w:rPr>
          <w:rFonts w:ascii="Times New Roman" w:hAnsi="Times New Roman" w:cs="Times New Roman"/>
          <w:sz w:val="24"/>
          <w:szCs w:val="24"/>
        </w:rPr>
        <w:t xml:space="preserve">линии под наем се затвърждава трайна тенденция на спад, тъй като потребителите се преориентират към нови продукти за достъп. На пазара на мобилни гласови телефонни услуги се наблюдава леко засилване на конкуренцията, за което свидетелства лекият </w:t>
      </w:r>
      <w:r w:rsidRPr="00344ED6">
        <w:rPr>
          <w:rFonts w:ascii="Times New Roman" w:hAnsi="Times New Roman" w:cs="Times New Roman"/>
          <w:sz w:val="24"/>
          <w:szCs w:val="24"/>
        </w:rPr>
        <w:lastRenderedPageBreak/>
        <w:t>спад в приходите на предприятията, предоставящи услуги в сегмента, въпреки увеличения трафик, което показва, че операторите се стремят да предлагат изгодни оферти на своите потребители. КЗК счете, че темпът на засилване на конкуренцията на пазара на фиксирани гласови телефонни услуги е бавен, но това се дължи на цялостния спад на интереса на потребителите към този вид услуга.</w:t>
      </w:r>
    </w:p>
    <w:p w14:paraId="7C41052C" w14:textId="77777777" w:rsidR="00037F6E" w:rsidRPr="00344ED6" w:rsidRDefault="00037F6E" w:rsidP="00037F6E">
      <w:pPr>
        <w:spacing w:after="0" w:line="276" w:lineRule="auto"/>
        <w:jc w:val="both"/>
        <w:rPr>
          <w:rFonts w:ascii="Times New Roman" w:hAnsi="Times New Roman" w:cs="Times New Roman"/>
          <w:sz w:val="24"/>
          <w:szCs w:val="24"/>
        </w:rPr>
      </w:pPr>
    </w:p>
    <w:p w14:paraId="54D5C04D" w14:textId="77777777" w:rsidR="00094591" w:rsidRPr="00344ED6" w:rsidRDefault="00094591" w:rsidP="00037F6E">
      <w:pPr>
        <w:numPr>
          <w:ilvl w:val="0"/>
          <w:numId w:val="9"/>
        </w:numPr>
        <w:spacing w:after="0" w:line="276" w:lineRule="auto"/>
        <w:ind w:left="1134" w:hanging="425"/>
        <w:jc w:val="both"/>
        <w:rPr>
          <w:rFonts w:ascii="Times New Roman" w:hAnsi="Times New Roman" w:cs="Times New Roman"/>
          <w:b/>
          <w:sz w:val="24"/>
          <w:szCs w:val="24"/>
        </w:rPr>
      </w:pPr>
      <w:r w:rsidRPr="00344ED6">
        <w:rPr>
          <w:rFonts w:ascii="Times New Roman" w:hAnsi="Times New Roman" w:cs="Times New Roman"/>
          <w:b/>
          <w:sz w:val="24"/>
          <w:szCs w:val="24"/>
        </w:rPr>
        <w:t>Европейски въпроси</w:t>
      </w:r>
    </w:p>
    <w:p w14:paraId="273F2097" w14:textId="77777777" w:rsidR="00094591" w:rsidRPr="00344ED6" w:rsidRDefault="00094591" w:rsidP="00037F6E">
      <w:pPr>
        <w:spacing w:after="0" w:line="276" w:lineRule="auto"/>
        <w:jc w:val="both"/>
        <w:rPr>
          <w:rFonts w:ascii="Times New Roman" w:hAnsi="Times New Roman" w:cs="Times New Roman"/>
          <w:sz w:val="24"/>
          <w:szCs w:val="24"/>
        </w:rPr>
      </w:pPr>
      <w:r w:rsidRPr="00344ED6">
        <w:rPr>
          <w:rFonts w:ascii="Times New Roman" w:hAnsi="Times New Roman" w:cs="Times New Roman"/>
          <w:b/>
          <w:i/>
          <w:sz w:val="24"/>
          <w:szCs w:val="24"/>
        </w:rPr>
        <w:t xml:space="preserve">             </w:t>
      </w:r>
      <w:r w:rsidRPr="00344ED6">
        <w:rPr>
          <w:rFonts w:ascii="Times New Roman" w:hAnsi="Times New Roman" w:cs="Times New Roman"/>
          <w:i/>
          <w:sz w:val="24"/>
          <w:szCs w:val="24"/>
        </w:rPr>
        <w:t>Участие в Европейската мрежа по конкуренция</w:t>
      </w:r>
    </w:p>
    <w:p w14:paraId="3BD219CC" w14:textId="77777777" w:rsidR="00094591" w:rsidRPr="00344ED6" w:rsidRDefault="00094591" w:rsidP="00037F6E">
      <w:pPr>
        <w:spacing w:after="0" w:line="276" w:lineRule="auto"/>
        <w:ind w:firstLine="708"/>
        <w:jc w:val="both"/>
        <w:rPr>
          <w:rFonts w:ascii="Times New Roman" w:hAnsi="Times New Roman" w:cs="Times New Roman"/>
          <w:sz w:val="24"/>
          <w:szCs w:val="24"/>
        </w:rPr>
      </w:pPr>
      <w:r w:rsidRPr="00344ED6">
        <w:rPr>
          <w:rFonts w:ascii="Times New Roman" w:hAnsi="Times New Roman" w:cs="Times New Roman"/>
          <w:sz w:val="24"/>
          <w:szCs w:val="24"/>
        </w:rPr>
        <w:t xml:space="preserve"> През първата половина на 2021 г. КЗК участва в 16 онлайн заседания на хоризонтални работни групи и секторни подгрупи (специализирани по сектори на икономиката) към Европейска мрежа по конкуренция (ЕМК), в които се обменят идеи и опит по въпроси от интерес за членовете на мрежата. Представители на КЗК взеха участие и в 1 онлайн пленарно заседание, на което се обсъждат въпроси, свързани с политиката и практиката по приложението на правилата на конкуренция, изразяват се становища по поставени от работните групи въпроси, приемат се документи, разработени в рамките на съответните работни групи. КЗК взе участие в онлайн консултативен комитет по концентрации в ролята на докладчик, както и в онлайн консултативен комитет, на който са обсъдени проекти на законодателни актове на ЕС. </w:t>
      </w:r>
    </w:p>
    <w:p w14:paraId="063471E4" w14:textId="77777777" w:rsidR="00094591" w:rsidRPr="00344ED6" w:rsidRDefault="00094591" w:rsidP="00037F6E">
      <w:pPr>
        <w:spacing w:after="0" w:line="276" w:lineRule="auto"/>
        <w:ind w:firstLine="708"/>
        <w:jc w:val="both"/>
        <w:rPr>
          <w:rFonts w:ascii="Times New Roman" w:hAnsi="Times New Roman" w:cs="Times New Roman"/>
          <w:sz w:val="24"/>
          <w:szCs w:val="24"/>
        </w:rPr>
      </w:pPr>
      <w:r w:rsidRPr="00344ED6">
        <w:rPr>
          <w:rFonts w:ascii="Times New Roman" w:hAnsi="Times New Roman" w:cs="Times New Roman"/>
          <w:sz w:val="24"/>
          <w:szCs w:val="24"/>
        </w:rPr>
        <w:t xml:space="preserve"> В края на месец юни КЗК се присъедини към съвместен документ на председателите на националните органи по конкуренция (НОК) от ЕС,  публикуван от ЕМК във връзка със законодателното предложение за Акт за цифровите пазари. Съвместният документ разглежда въпросите на координация между прилагането на Акта и прилагането на правото на конкуренция и прави предложения да се засили ефективността на този нов инструмент, като се позволи на НОК да прилагат процедурите, свързани със спазването на Акта за цифровите пазари. Съвместният документ се фокусира върху институционални аспекти, които, на този етап, не присъстват в предложението, с цел да направи Акта възможно най-ефективен и подходящ за бъдещето. Документът на ЕМК идентифицира силна нужда от по-добра координация при прилагането на Акта за цифровите пазари с процедурите на правото на конкуренцията.</w:t>
      </w:r>
    </w:p>
    <w:p w14:paraId="57450EA4" w14:textId="6161FD63" w:rsidR="00094591" w:rsidRDefault="00094591" w:rsidP="00037F6E">
      <w:pPr>
        <w:spacing w:after="0" w:line="276" w:lineRule="auto"/>
        <w:ind w:firstLine="708"/>
        <w:jc w:val="both"/>
        <w:rPr>
          <w:rFonts w:ascii="Times New Roman" w:hAnsi="Times New Roman" w:cs="Times New Roman"/>
          <w:sz w:val="24"/>
          <w:szCs w:val="24"/>
        </w:rPr>
      </w:pPr>
      <w:r w:rsidRPr="00344ED6">
        <w:rPr>
          <w:rFonts w:ascii="Times New Roman" w:hAnsi="Times New Roman" w:cs="Times New Roman"/>
          <w:sz w:val="24"/>
          <w:szCs w:val="24"/>
        </w:rPr>
        <w:t xml:space="preserve">През месец юни 2021 г. зам.-председателят на КЗК, г-н Димитър Кюмюрджиев взе участие на срещата на председателите на органите по конкуренция от ЕМК, също проведена онлайн, на която са обсъдени законодателни инициативи на ЕК, както и актуални въпроси от областта на антитръста и концентрациите. </w:t>
      </w:r>
    </w:p>
    <w:p w14:paraId="0742AA57" w14:textId="77777777" w:rsidR="00037F6E" w:rsidRPr="00344ED6" w:rsidRDefault="00037F6E" w:rsidP="00037F6E">
      <w:pPr>
        <w:spacing w:after="0" w:line="276" w:lineRule="auto"/>
        <w:ind w:firstLine="708"/>
        <w:jc w:val="both"/>
        <w:rPr>
          <w:rFonts w:ascii="Times New Roman" w:hAnsi="Times New Roman" w:cs="Times New Roman"/>
          <w:sz w:val="24"/>
          <w:szCs w:val="24"/>
        </w:rPr>
      </w:pPr>
    </w:p>
    <w:p w14:paraId="0F4F9F98" w14:textId="77777777" w:rsidR="00094591" w:rsidRPr="00344ED6" w:rsidRDefault="00094591" w:rsidP="00037F6E">
      <w:pPr>
        <w:numPr>
          <w:ilvl w:val="0"/>
          <w:numId w:val="9"/>
        </w:numPr>
        <w:spacing w:after="0" w:line="276" w:lineRule="auto"/>
        <w:ind w:left="1134" w:hanging="425"/>
        <w:jc w:val="both"/>
        <w:rPr>
          <w:rFonts w:ascii="Times New Roman" w:hAnsi="Times New Roman" w:cs="Times New Roman"/>
          <w:sz w:val="24"/>
          <w:szCs w:val="24"/>
        </w:rPr>
      </w:pPr>
      <w:r w:rsidRPr="00344ED6">
        <w:rPr>
          <w:rFonts w:ascii="Times New Roman" w:hAnsi="Times New Roman" w:cs="Times New Roman"/>
          <w:b/>
          <w:sz w:val="24"/>
          <w:szCs w:val="24"/>
        </w:rPr>
        <w:t>Международно сътрудничество</w:t>
      </w:r>
    </w:p>
    <w:p w14:paraId="7CAA40EA" w14:textId="77777777" w:rsidR="00094591" w:rsidRPr="00344ED6" w:rsidRDefault="00094591" w:rsidP="00037F6E">
      <w:pPr>
        <w:spacing w:after="0" w:line="276" w:lineRule="auto"/>
        <w:jc w:val="both"/>
        <w:rPr>
          <w:rFonts w:ascii="Times New Roman" w:hAnsi="Times New Roman" w:cs="Times New Roman"/>
          <w:i/>
          <w:sz w:val="24"/>
          <w:szCs w:val="24"/>
        </w:rPr>
      </w:pPr>
      <w:r w:rsidRPr="00344ED6">
        <w:rPr>
          <w:rFonts w:ascii="Times New Roman" w:hAnsi="Times New Roman" w:cs="Times New Roman"/>
          <w:b/>
          <w:sz w:val="24"/>
          <w:szCs w:val="24"/>
        </w:rPr>
        <w:tab/>
      </w:r>
      <w:r w:rsidRPr="00344ED6">
        <w:rPr>
          <w:rFonts w:ascii="Times New Roman" w:hAnsi="Times New Roman" w:cs="Times New Roman"/>
          <w:i/>
          <w:sz w:val="24"/>
          <w:szCs w:val="24"/>
        </w:rPr>
        <w:t>Обмен на информация в мрежите и организациите, в които КЗК участва</w:t>
      </w:r>
    </w:p>
    <w:p w14:paraId="6EAD3101" w14:textId="52D0457C" w:rsidR="00094591" w:rsidRPr="00344ED6" w:rsidRDefault="00094591"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В КЗК се получават многобройни и най-различни въпросници, произтичащи от сътрудничеството в рамките на Европейска мрежа по конкуренция, Международната мрежа по конкуренция и други организации. През първите шест месеца на 2021 г. броят на получените въпросници е 49, като КЗК е отговорила на всички.</w:t>
      </w:r>
    </w:p>
    <w:p w14:paraId="053DD8AC" w14:textId="77777777" w:rsidR="00094591" w:rsidRPr="00344ED6" w:rsidRDefault="00094591" w:rsidP="00037F6E">
      <w:pPr>
        <w:spacing w:after="0" w:line="276" w:lineRule="auto"/>
        <w:ind w:firstLine="709"/>
        <w:jc w:val="both"/>
        <w:rPr>
          <w:rFonts w:ascii="Times New Roman" w:hAnsi="Times New Roman" w:cs="Times New Roman"/>
          <w:i/>
          <w:sz w:val="24"/>
          <w:szCs w:val="24"/>
        </w:rPr>
      </w:pPr>
      <w:r w:rsidRPr="00344ED6">
        <w:rPr>
          <w:rFonts w:ascii="Times New Roman" w:hAnsi="Times New Roman" w:cs="Times New Roman"/>
          <w:i/>
          <w:sz w:val="24"/>
          <w:szCs w:val="24"/>
        </w:rPr>
        <w:t>Участие в Международната мрежа по конкуренция</w:t>
      </w:r>
    </w:p>
    <w:p w14:paraId="30ADE1C7" w14:textId="77777777" w:rsidR="00094591" w:rsidRPr="00344ED6" w:rsidRDefault="00094591" w:rsidP="00037F6E">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lastRenderedPageBreak/>
        <w:t>В качеството си на член на Международната мрежа по конкуренция (ММК) през първата половина на 2021 г. КЗК продължи активното си участие в работните групи на Мрежата. ММК разглежда въпроси в областта на законодателството и политиката на конкуренция. Целта е да се задълбочи взаимодействието между органите по конкуренция и да се постигне сближаване на законодателството и правоприлагането. Представители на КЗК взеха участие в 6 виртуални семинара.</w:t>
      </w:r>
    </w:p>
    <w:p w14:paraId="432ACCA4" w14:textId="2841CAE5" w:rsidR="00094591" w:rsidRPr="00344ED6" w:rsidRDefault="00094591" w:rsidP="00037F6E">
      <w:pPr>
        <w:spacing w:after="0" w:line="276" w:lineRule="auto"/>
        <w:ind w:firstLine="709"/>
        <w:jc w:val="both"/>
        <w:rPr>
          <w:rFonts w:ascii="Times New Roman" w:hAnsi="Times New Roman" w:cs="Times New Roman"/>
          <w:i/>
          <w:sz w:val="24"/>
          <w:szCs w:val="24"/>
        </w:rPr>
      </w:pPr>
      <w:r w:rsidRPr="00344ED6">
        <w:rPr>
          <w:rFonts w:ascii="Times New Roman" w:hAnsi="Times New Roman" w:cs="Times New Roman"/>
          <w:i/>
          <w:sz w:val="24"/>
          <w:szCs w:val="24"/>
        </w:rPr>
        <w:t>Сътрудничество в Организацията за икономическо сътрудничество и развитие (ОИСР)</w:t>
      </w:r>
    </w:p>
    <w:p w14:paraId="5BF9799B" w14:textId="77777777" w:rsidR="00094591" w:rsidRPr="00344ED6" w:rsidRDefault="00094591" w:rsidP="00037F6E">
      <w:pPr>
        <w:spacing w:after="0" w:line="276" w:lineRule="auto"/>
        <w:ind w:firstLine="708"/>
        <w:jc w:val="both"/>
        <w:rPr>
          <w:rFonts w:ascii="Times New Roman" w:hAnsi="Times New Roman" w:cs="Times New Roman"/>
          <w:sz w:val="24"/>
          <w:szCs w:val="24"/>
        </w:rPr>
      </w:pPr>
      <w:r w:rsidRPr="00344ED6">
        <w:rPr>
          <w:rFonts w:ascii="Times New Roman" w:hAnsi="Times New Roman" w:cs="Times New Roman"/>
          <w:sz w:val="24"/>
          <w:szCs w:val="24"/>
        </w:rPr>
        <w:t xml:space="preserve">През първото полугодие на 2021 г. Комисия за защита на конкуренцията продължи участието си в работата на Комитета по конкуренцията и работните групи към него на Организацията за икономическо сътрудничество и развитие (ОИСР), както и в дейността на Регионалния център на ОИСР в Будапеща. Поради пандемията от КОВИД-19, всички срещи се провеждаха в онлайн формат. </w:t>
      </w:r>
    </w:p>
    <w:p w14:paraId="0CBB1AD6" w14:textId="77777777" w:rsidR="00094591" w:rsidRPr="00344ED6" w:rsidRDefault="00094591" w:rsidP="00037F6E">
      <w:pPr>
        <w:spacing w:after="0" w:line="276" w:lineRule="auto"/>
        <w:ind w:firstLine="708"/>
        <w:jc w:val="both"/>
        <w:rPr>
          <w:rFonts w:ascii="Times New Roman" w:hAnsi="Times New Roman" w:cs="Times New Roman"/>
          <w:sz w:val="24"/>
          <w:szCs w:val="24"/>
        </w:rPr>
      </w:pPr>
      <w:r w:rsidRPr="00344ED6">
        <w:rPr>
          <w:rFonts w:ascii="Times New Roman" w:hAnsi="Times New Roman" w:cs="Times New Roman"/>
          <w:sz w:val="24"/>
          <w:szCs w:val="24"/>
        </w:rPr>
        <w:t xml:space="preserve">Представители на КЗК участваха в онлайн сесиите на Комитета по конкуренцията на ОИСР през м. юни 2021 г. по следните теми: „Преносимост на данни, интероперабелност и конкуренция“, „Концепцията за потенциална конкуренция“, „Методологии за измерване на пазарната конкуренция“, „Правоприлагане по конкуренцията и регулаторни алтернативи“. </w:t>
      </w:r>
    </w:p>
    <w:p w14:paraId="24B367E9" w14:textId="18083060" w:rsidR="00094591" w:rsidRDefault="00094591" w:rsidP="00037F6E">
      <w:pPr>
        <w:spacing w:after="0" w:line="276" w:lineRule="auto"/>
        <w:ind w:firstLine="708"/>
        <w:jc w:val="both"/>
        <w:rPr>
          <w:rFonts w:ascii="Times New Roman" w:hAnsi="Times New Roman" w:cs="Times New Roman"/>
          <w:sz w:val="24"/>
          <w:szCs w:val="24"/>
        </w:rPr>
      </w:pPr>
      <w:r w:rsidRPr="00344ED6">
        <w:rPr>
          <w:rFonts w:ascii="Times New Roman" w:hAnsi="Times New Roman" w:cs="Times New Roman"/>
          <w:sz w:val="24"/>
          <w:szCs w:val="24"/>
        </w:rPr>
        <w:t>Експерти на КЗК се включиха и в онлайн семинара на Регионалния център по конкуренция на ОИСР в Будапеща на тема: "Борба с тръжните манипулации в процедури за възлагане на обществени поръчки“.</w:t>
      </w:r>
    </w:p>
    <w:p w14:paraId="0D34812F" w14:textId="77777777" w:rsidR="00037F6E" w:rsidRPr="00344ED6" w:rsidRDefault="00037F6E" w:rsidP="00037F6E">
      <w:pPr>
        <w:spacing w:after="0" w:line="276" w:lineRule="auto"/>
        <w:ind w:firstLine="708"/>
        <w:jc w:val="both"/>
        <w:rPr>
          <w:rFonts w:ascii="Times New Roman" w:hAnsi="Times New Roman" w:cs="Times New Roman"/>
          <w:sz w:val="24"/>
          <w:szCs w:val="24"/>
        </w:rPr>
      </w:pPr>
    </w:p>
    <w:p w14:paraId="11A60933" w14:textId="77777777" w:rsidR="00094591" w:rsidRPr="00344ED6" w:rsidRDefault="00094591" w:rsidP="00037F6E">
      <w:pPr>
        <w:numPr>
          <w:ilvl w:val="0"/>
          <w:numId w:val="9"/>
        </w:numPr>
        <w:spacing w:after="0" w:line="276" w:lineRule="auto"/>
        <w:ind w:left="1134" w:hanging="425"/>
        <w:jc w:val="both"/>
        <w:rPr>
          <w:rFonts w:ascii="Times New Roman" w:hAnsi="Times New Roman" w:cs="Times New Roman"/>
          <w:b/>
          <w:sz w:val="24"/>
          <w:szCs w:val="24"/>
        </w:rPr>
      </w:pPr>
      <w:r w:rsidRPr="00344ED6">
        <w:rPr>
          <w:rFonts w:ascii="Times New Roman" w:hAnsi="Times New Roman" w:cs="Times New Roman"/>
          <w:b/>
          <w:sz w:val="24"/>
          <w:szCs w:val="24"/>
        </w:rPr>
        <w:t>Дейност по процесуалното представителство на Комисията</w:t>
      </w:r>
    </w:p>
    <w:p w14:paraId="1F0E3F41" w14:textId="183F2687" w:rsidR="00094591" w:rsidRPr="00344ED6" w:rsidRDefault="00094591" w:rsidP="000F6FC8">
      <w:pPr>
        <w:spacing w:after="0" w:line="276" w:lineRule="auto"/>
        <w:ind w:firstLine="709"/>
        <w:jc w:val="both"/>
        <w:rPr>
          <w:rFonts w:ascii="Times New Roman" w:hAnsi="Times New Roman" w:cs="Times New Roman"/>
          <w:sz w:val="24"/>
          <w:szCs w:val="24"/>
        </w:rPr>
      </w:pPr>
      <w:r w:rsidRPr="00344ED6">
        <w:rPr>
          <w:rFonts w:ascii="Times New Roman" w:hAnsi="Times New Roman" w:cs="Times New Roman"/>
          <w:sz w:val="24"/>
          <w:szCs w:val="24"/>
        </w:rPr>
        <w:t>През първото полугодие на 2021 г. са подадени общо 24 жалби до компетентния съд срещу 21 решения на Комисия за защита на конкуренцията, постановени по реда на ЗЗК.  От началото на годината не са постъпили жалби срещу определения, с които КЗК се е произнесла по въпроси, с които не се решава спорът по същество.</w:t>
      </w:r>
    </w:p>
    <w:p w14:paraId="009D6FA1" w14:textId="77777777" w:rsidR="00094591" w:rsidRPr="00344ED6" w:rsidRDefault="00094591" w:rsidP="00037F6E">
      <w:pPr>
        <w:spacing w:after="0" w:line="276" w:lineRule="auto"/>
        <w:ind w:firstLine="708"/>
        <w:jc w:val="both"/>
        <w:rPr>
          <w:rFonts w:ascii="Times New Roman" w:hAnsi="Times New Roman" w:cs="Times New Roman"/>
          <w:i/>
          <w:sz w:val="24"/>
          <w:szCs w:val="24"/>
        </w:rPr>
      </w:pPr>
      <w:r w:rsidRPr="00344ED6">
        <w:rPr>
          <w:rFonts w:ascii="Times New Roman" w:hAnsi="Times New Roman" w:cs="Times New Roman"/>
          <w:i/>
          <w:sz w:val="24"/>
          <w:szCs w:val="24"/>
        </w:rPr>
        <w:t>Съдебна ревизия на АССО</w:t>
      </w:r>
    </w:p>
    <w:p w14:paraId="76AE90C0" w14:textId="2CC6B0FC" w:rsidR="00094591" w:rsidRPr="00344ED6" w:rsidRDefault="00094591" w:rsidP="00037F6E">
      <w:pPr>
        <w:spacing w:after="0" w:line="276" w:lineRule="auto"/>
        <w:ind w:firstLine="708"/>
        <w:jc w:val="both"/>
        <w:rPr>
          <w:rFonts w:ascii="Times New Roman" w:hAnsi="Times New Roman" w:cs="Times New Roman"/>
          <w:sz w:val="24"/>
          <w:szCs w:val="24"/>
        </w:rPr>
      </w:pPr>
      <w:r w:rsidRPr="00344ED6">
        <w:rPr>
          <w:rFonts w:ascii="Times New Roman" w:hAnsi="Times New Roman" w:cs="Times New Roman"/>
          <w:sz w:val="24"/>
          <w:szCs w:val="24"/>
        </w:rPr>
        <w:t>През първото шестмесечие на 2021г. Административен съд – София област се е произнесъл с общо с 17 решения по жалби, подадени срещу актове на КЗК, постановени по реда на ЗЗК. Със своите  решения АССО оставя в сила 10 акта на Комисията, 4 акта на КЗК са отменени изцяло, а 3 решения на КЗК са отменени частично.</w:t>
      </w:r>
    </w:p>
    <w:p w14:paraId="21F40612" w14:textId="77777777" w:rsidR="00094591" w:rsidRPr="00344ED6" w:rsidRDefault="00094591" w:rsidP="00037F6E">
      <w:pPr>
        <w:spacing w:after="0" w:line="276" w:lineRule="auto"/>
        <w:ind w:firstLine="708"/>
        <w:jc w:val="both"/>
        <w:rPr>
          <w:rFonts w:ascii="Times New Roman" w:hAnsi="Times New Roman" w:cs="Times New Roman"/>
          <w:i/>
          <w:sz w:val="24"/>
          <w:szCs w:val="24"/>
        </w:rPr>
      </w:pPr>
      <w:r w:rsidRPr="00344ED6">
        <w:rPr>
          <w:rFonts w:ascii="Times New Roman" w:hAnsi="Times New Roman" w:cs="Times New Roman"/>
          <w:i/>
          <w:sz w:val="24"/>
          <w:szCs w:val="24"/>
        </w:rPr>
        <w:t xml:space="preserve">Съдебна ревизия на ВАС като първа инстанция и като касационна инстанция </w:t>
      </w:r>
    </w:p>
    <w:p w14:paraId="29999ECE" w14:textId="77777777" w:rsidR="00094591" w:rsidRPr="00094591" w:rsidRDefault="00094591" w:rsidP="00037F6E">
      <w:pPr>
        <w:spacing w:after="0" w:line="276" w:lineRule="auto"/>
        <w:ind w:firstLine="708"/>
        <w:jc w:val="both"/>
        <w:rPr>
          <w:rFonts w:ascii="Times New Roman" w:hAnsi="Times New Roman" w:cs="Times New Roman"/>
          <w:sz w:val="24"/>
          <w:szCs w:val="24"/>
        </w:rPr>
      </w:pPr>
      <w:r w:rsidRPr="00344ED6">
        <w:rPr>
          <w:rFonts w:ascii="Times New Roman" w:hAnsi="Times New Roman" w:cs="Times New Roman"/>
          <w:sz w:val="24"/>
          <w:szCs w:val="24"/>
        </w:rPr>
        <w:t>През първото полугодие на 2021г. 3-членен състав и 5-членен на Върховният административен съд се е произнесъл като първа или касационна инстанция по спорове за конкуренция като е постановил общо 44 съдебни акта. С тези актове ВАС оставя в сила 25 акта на Комисията по реда на Закона за защита на конкуренцията, 12 акта на КЗК са отменени частично (по седем от тях е намален единствено размера на наложената санкция), а 7 акта са отменени изцяло. С това към момента се запазва общият постигнат положителен резултат на дейността по процесуално представителство спрямо предходната година.</w:t>
      </w:r>
      <w:r w:rsidRPr="00094591">
        <w:rPr>
          <w:rFonts w:ascii="Times New Roman" w:hAnsi="Times New Roman" w:cs="Times New Roman"/>
          <w:sz w:val="24"/>
          <w:szCs w:val="24"/>
        </w:rPr>
        <w:t xml:space="preserve">    </w:t>
      </w:r>
    </w:p>
    <w:p w14:paraId="55258DC7" w14:textId="250F1D5A" w:rsidR="00F77261" w:rsidRPr="00F77261" w:rsidRDefault="00F77261" w:rsidP="00037F6E">
      <w:pPr>
        <w:spacing w:after="0" w:line="276" w:lineRule="auto"/>
        <w:jc w:val="both"/>
        <w:rPr>
          <w:rFonts w:ascii="Times New Roman" w:hAnsi="Times New Roman" w:cs="Times New Roman"/>
          <w:color w:val="2E74B5" w:themeColor="accent1" w:themeShade="BF"/>
          <w:sz w:val="24"/>
          <w:szCs w:val="24"/>
        </w:rPr>
      </w:pPr>
    </w:p>
    <w:p w14:paraId="466F2049" w14:textId="6E92C241" w:rsidR="006646D4" w:rsidRPr="00DB269E" w:rsidRDefault="00C233D6" w:rsidP="00037F6E">
      <w:pPr>
        <w:pStyle w:val="ListParagraph"/>
        <w:numPr>
          <w:ilvl w:val="0"/>
          <w:numId w:val="6"/>
        </w:numPr>
        <w:spacing w:line="276" w:lineRule="auto"/>
        <w:jc w:val="both"/>
        <w:rPr>
          <w:rFonts w:ascii="Times New Roman" w:hAnsi="Times New Roman" w:cs="Times New Roman"/>
          <w:b/>
          <w:color w:val="000000" w:themeColor="text1"/>
        </w:rPr>
      </w:pPr>
      <w:r w:rsidRPr="00DB269E">
        <w:rPr>
          <w:rFonts w:ascii="Times New Roman" w:hAnsi="Times New Roman" w:cs="Times New Roman"/>
          <w:b/>
          <w:color w:val="000000" w:themeColor="text1"/>
        </w:rPr>
        <w:lastRenderedPageBreak/>
        <w:t>Водене на електроне</w:t>
      </w:r>
      <w:r w:rsidR="00747418">
        <w:rPr>
          <w:rFonts w:ascii="Times New Roman" w:hAnsi="Times New Roman" w:cs="Times New Roman"/>
          <w:b/>
          <w:color w:val="000000" w:themeColor="text1"/>
        </w:rPr>
        <w:t>н регистър за издаваните актове</w:t>
      </w:r>
    </w:p>
    <w:p w14:paraId="30365947" w14:textId="77777777" w:rsidR="0048344A" w:rsidRPr="00DB269E" w:rsidRDefault="00496987" w:rsidP="00037F6E">
      <w:pPr>
        <w:spacing w:after="0" w:line="276" w:lineRule="auto"/>
        <w:ind w:firstLine="709"/>
        <w:jc w:val="both"/>
        <w:rPr>
          <w:rFonts w:ascii="Times New Roman" w:hAnsi="Times New Roman" w:cs="Times New Roman"/>
          <w:color w:val="000000" w:themeColor="text1"/>
          <w:sz w:val="24"/>
          <w:szCs w:val="24"/>
        </w:rPr>
      </w:pPr>
      <w:r w:rsidRPr="00DB269E">
        <w:rPr>
          <w:rFonts w:ascii="Times New Roman" w:hAnsi="Times New Roman" w:cs="Times New Roman"/>
          <w:color w:val="000000" w:themeColor="text1"/>
          <w:sz w:val="24"/>
          <w:szCs w:val="24"/>
        </w:rPr>
        <w:t xml:space="preserve">Публикуването в електронния регистър се </w:t>
      </w:r>
      <w:r w:rsidR="00437BE2" w:rsidRPr="00DB269E">
        <w:rPr>
          <w:rFonts w:ascii="Times New Roman" w:hAnsi="Times New Roman" w:cs="Times New Roman"/>
          <w:color w:val="000000" w:themeColor="text1"/>
          <w:sz w:val="24"/>
          <w:szCs w:val="24"/>
        </w:rPr>
        <w:t>извършва в изпълнение на чл.</w:t>
      </w:r>
      <w:r w:rsidRPr="00DB269E">
        <w:rPr>
          <w:rFonts w:ascii="Times New Roman" w:hAnsi="Times New Roman" w:cs="Times New Roman"/>
          <w:color w:val="000000" w:themeColor="text1"/>
          <w:sz w:val="24"/>
          <w:szCs w:val="24"/>
        </w:rPr>
        <w:t xml:space="preserve"> </w:t>
      </w:r>
      <w:r w:rsidR="00437BE2" w:rsidRPr="00DB269E">
        <w:rPr>
          <w:rFonts w:ascii="Times New Roman" w:hAnsi="Times New Roman" w:cs="Times New Roman"/>
          <w:color w:val="000000" w:themeColor="text1"/>
          <w:sz w:val="24"/>
          <w:szCs w:val="24"/>
        </w:rPr>
        <w:t>68 от ЗЗК с цел осигуряване на публичност на актовете на Комисията и публикуваните съобщения за образувани производства. Тази услуга е</w:t>
      </w:r>
      <w:r w:rsidR="0048344A" w:rsidRPr="00DB269E">
        <w:rPr>
          <w:rFonts w:ascii="Times New Roman" w:hAnsi="Times New Roman" w:cs="Times New Roman"/>
          <w:color w:val="000000" w:themeColor="text1"/>
          <w:sz w:val="24"/>
          <w:szCs w:val="24"/>
        </w:rPr>
        <w:t xml:space="preserve"> действаща, с рутинен характер и </w:t>
      </w:r>
      <w:r w:rsidR="00437BE2" w:rsidRPr="00DB269E">
        <w:rPr>
          <w:rFonts w:ascii="Times New Roman" w:hAnsi="Times New Roman" w:cs="Times New Roman"/>
          <w:color w:val="000000" w:themeColor="text1"/>
          <w:sz w:val="24"/>
          <w:szCs w:val="24"/>
        </w:rPr>
        <w:t>осигурява възможност на всички заинтересовани лица да упражняват правото си на защита като обжалват публикуваните актове от датата на тяхната публикация в регистъра или да изразят становище по образуваните производства.</w:t>
      </w:r>
    </w:p>
    <w:p w14:paraId="300BBA95" w14:textId="05C249C2" w:rsidR="0048344A" w:rsidRPr="00DB269E" w:rsidRDefault="00437BE2" w:rsidP="00037F6E">
      <w:pPr>
        <w:spacing w:after="0" w:line="276" w:lineRule="auto"/>
        <w:ind w:firstLine="709"/>
        <w:jc w:val="both"/>
        <w:rPr>
          <w:rFonts w:ascii="Times New Roman" w:hAnsi="Times New Roman" w:cs="Times New Roman"/>
          <w:color w:val="000000" w:themeColor="text1"/>
          <w:sz w:val="24"/>
          <w:szCs w:val="24"/>
        </w:rPr>
      </w:pPr>
      <w:r w:rsidRPr="00DB269E">
        <w:rPr>
          <w:rFonts w:ascii="Times New Roman" w:hAnsi="Times New Roman" w:cs="Times New Roman"/>
          <w:color w:val="000000" w:themeColor="text1"/>
          <w:sz w:val="24"/>
          <w:szCs w:val="24"/>
        </w:rPr>
        <w:t xml:space="preserve"> Оповестяването на актовете на КЗК в публичния регистър позволява на всички лица, освен заинтересованите от </w:t>
      </w:r>
      <w:r w:rsidRPr="004A3130">
        <w:rPr>
          <w:rFonts w:ascii="Times New Roman" w:hAnsi="Times New Roman" w:cs="Times New Roman"/>
          <w:color w:val="000000" w:themeColor="text1"/>
          <w:sz w:val="24"/>
          <w:szCs w:val="24"/>
        </w:rPr>
        <w:t>постановения акт, да се запознаят с практиката на Комисията, както и с правилата на</w:t>
      </w:r>
      <w:r w:rsidR="00974377" w:rsidRPr="004A3130">
        <w:rPr>
          <w:rFonts w:ascii="Times New Roman" w:hAnsi="Times New Roman" w:cs="Times New Roman"/>
          <w:color w:val="000000" w:themeColor="text1"/>
          <w:sz w:val="24"/>
          <w:szCs w:val="24"/>
        </w:rPr>
        <w:t xml:space="preserve"> конкуренция. </w:t>
      </w:r>
      <w:r w:rsidR="0046743B">
        <w:rPr>
          <w:rFonts w:ascii="Times New Roman" w:hAnsi="Times New Roman" w:cs="Times New Roman"/>
          <w:color w:val="000000" w:themeColor="text1"/>
          <w:sz w:val="24"/>
          <w:szCs w:val="24"/>
        </w:rPr>
        <w:t>За периода 01.01.2021 г.</w:t>
      </w:r>
      <w:r w:rsidR="00861564" w:rsidRPr="004A3130">
        <w:rPr>
          <w:rFonts w:ascii="Times New Roman" w:hAnsi="Times New Roman" w:cs="Times New Roman"/>
          <w:color w:val="000000" w:themeColor="text1"/>
          <w:sz w:val="24"/>
          <w:szCs w:val="24"/>
        </w:rPr>
        <w:t xml:space="preserve"> - 30.06.2021</w:t>
      </w:r>
      <w:r w:rsidR="00974377" w:rsidRPr="004A3130">
        <w:rPr>
          <w:rFonts w:ascii="Times New Roman" w:hAnsi="Times New Roman" w:cs="Times New Roman"/>
          <w:color w:val="000000" w:themeColor="text1"/>
          <w:sz w:val="24"/>
          <w:szCs w:val="24"/>
        </w:rPr>
        <w:t xml:space="preserve"> г. в ре</w:t>
      </w:r>
      <w:r w:rsidR="004A3130" w:rsidRPr="004A3130">
        <w:rPr>
          <w:rFonts w:ascii="Times New Roman" w:hAnsi="Times New Roman" w:cs="Times New Roman"/>
          <w:color w:val="000000" w:themeColor="text1"/>
          <w:sz w:val="24"/>
          <w:szCs w:val="24"/>
        </w:rPr>
        <w:t>гистъра са публикувани общо  441 решения и 220</w:t>
      </w:r>
      <w:r w:rsidR="00974377" w:rsidRPr="004A3130">
        <w:rPr>
          <w:rFonts w:ascii="Times New Roman" w:hAnsi="Times New Roman" w:cs="Times New Roman"/>
          <w:color w:val="000000" w:themeColor="text1"/>
          <w:sz w:val="24"/>
          <w:szCs w:val="24"/>
        </w:rPr>
        <w:t xml:space="preserve"> определения.</w:t>
      </w:r>
    </w:p>
    <w:p w14:paraId="4D01AC09" w14:textId="77777777" w:rsidR="00437BE2" w:rsidRPr="00DB269E" w:rsidRDefault="00437BE2" w:rsidP="00037F6E">
      <w:pPr>
        <w:spacing w:after="0" w:line="276" w:lineRule="auto"/>
        <w:ind w:firstLine="709"/>
        <w:jc w:val="both"/>
        <w:rPr>
          <w:rFonts w:ascii="Times New Roman" w:hAnsi="Times New Roman" w:cs="Times New Roman"/>
          <w:color w:val="000000" w:themeColor="text1"/>
          <w:sz w:val="24"/>
          <w:szCs w:val="24"/>
        </w:rPr>
      </w:pPr>
      <w:r w:rsidRPr="00DB269E">
        <w:rPr>
          <w:rFonts w:ascii="Times New Roman" w:hAnsi="Times New Roman" w:cs="Times New Roman"/>
          <w:color w:val="000000" w:themeColor="text1"/>
          <w:sz w:val="24"/>
          <w:szCs w:val="24"/>
        </w:rPr>
        <w:t>Публикуването в регистъра се извършва при спазване на законовите срокове, определени в чл. 68, ал. 4 от ЗЗК. Регистърът се актуализира своевременно.</w:t>
      </w:r>
    </w:p>
    <w:p w14:paraId="5431C12A" w14:textId="77777777" w:rsidR="006646D4" w:rsidRPr="00DB269E" w:rsidRDefault="006646D4" w:rsidP="00037F6E">
      <w:pPr>
        <w:pStyle w:val="ListParagraph"/>
        <w:spacing w:line="276" w:lineRule="auto"/>
        <w:rPr>
          <w:rFonts w:ascii="Times New Roman" w:hAnsi="Times New Roman" w:cs="Times New Roman"/>
          <w:color w:val="000000" w:themeColor="text1"/>
        </w:rPr>
      </w:pPr>
    </w:p>
    <w:p w14:paraId="4FF912E2" w14:textId="6192ABB2" w:rsidR="00425328" w:rsidRPr="00037F6E" w:rsidRDefault="00C233D6" w:rsidP="00037F6E">
      <w:pPr>
        <w:pStyle w:val="ListParagraph"/>
        <w:numPr>
          <w:ilvl w:val="0"/>
          <w:numId w:val="6"/>
        </w:numPr>
        <w:spacing w:line="276" w:lineRule="auto"/>
        <w:ind w:left="0" w:firstLine="360"/>
        <w:jc w:val="both"/>
        <w:rPr>
          <w:rFonts w:ascii="Times New Roman" w:hAnsi="Times New Roman" w:cs="Times New Roman"/>
          <w:b/>
          <w:color w:val="000000" w:themeColor="text1"/>
        </w:rPr>
      </w:pPr>
      <w:r w:rsidRPr="00037F6E">
        <w:rPr>
          <w:rFonts w:ascii="Times New Roman" w:hAnsi="Times New Roman" w:cs="Times New Roman"/>
          <w:b/>
          <w:color w:val="000000" w:themeColor="text1"/>
        </w:rPr>
        <w:t>Производства по обжалване, в рамките на които, при наличие на нормативноустановените предпоставки, се осъществява проучване и се постановява акт по законосъобразността на обжалваните решения, действия и бе</w:t>
      </w:r>
      <w:r w:rsidR="006646D4" w:rsidRPr="00037F6E">
        <w:rPr>
          <w:rFonts w:ascii="Times New Roman" w:hAnsi="Times New Roman" w:cs="Times New Roman"/>
          <w:b/>
          <w:color w:val="000000" w:themeColor="text1"/>
        </w:rPr>
        <w:t xml:space="preserve">здействия на възложители по Закона </w:t>
      </w:r>
      <w:r w:rsidR="004E20AA" w:rsidRPr="00037F6E">
        <w:rPr>
          <w:rFonts w:ascii="Times New Roman" w:hAnsi="Times New Roman" w:cs="Times New Roman"/>
          <w:b/>
          <w:color w:val="000000" w:themeColor="text1"/>
        </w:rPr>
        <w:t xml:space="preserve">за обществените поръчки </w:t>
      </w:r>
      <w:r w:rsidRPr="00037F6E">
        <w:rPr>
          <w:rFonts w:ascii="Times New Roman" w:hAnsi="Times New Roman" w:cs="Times New Roman"/>
          <w:b/>
          <w:color w:val="000000" w:themeColor="text1"/>
        </w:rPr>
        <w:t>и на концеденти по ЗК.</w:t>
      </w:r>
    </w:p>
    <w:p w14:paraId="2C6E0545" w14:textId="3E9285A2" w:rsidR="00952704" w:rsidRPr="00037F6E" w:rsidRDefault="001B434A" w:rsidP="00037F6E">
      <w:pPr>
        <w:pStyle w:val="ListParagraph"/>
        <w:numPr>
          <w:ilvl w:val="0"/>
          <w:numId w:val="7"/>
        </w:numPr>
        <w:spacing w:line="276" w:lineRule="auto"/>
        <w:ind w:left="1134" w:hanging="425"/>
        <w:jc w:val="both"/>
        <w:rPr>
          <w:rFonts w:ascii="Times New Roman" w:eastAsia="Times New Roman" w:hAnsi="Times New Roman" w:cs="Times New Roman"/>
          <w:b/>
          <w:lang w:eastAsia="bg-BG"/>
        </w:rPr>
      </w:pPr>
      <w:r w:rsidRPr="00037F6E">
        <w:rPr>
          <w:rFonts w:ascii="Times New Roman" w:eastAsia="Times New Roman" w:hAnsi="Times New Roman" w:cs="Times New Roman"/>
          <w:b/>
          <w:lang w:eastAsia="bg-BG"/>
        </w:rPr>
        <w:t>Дейност по Закона за обществените поръчки</w:t>
      </w:r>
    </w:p>
    <w:p w14:paraId="1E2AEFB9" w14:textId="77777777" w:rsidR="001B434A" w:rsidRPr="00037F6E" w:rsidRDefault="001B434A" w:rsidP="00037F6E">
      <w:pPr>
        <w:spacing w:after="0" w:line="276" w:lineRule="auto"/>
        <w:ind w:firstLine="708"/>
        <w:jc w:val="both"/>
        <w:rPr>
          <w:rFonts w:ascii="Times New Roman" w:eastAsia="Times New Roman" w:hAnsi="Times New Roman" w:cs="Times New Roman"/>
          <w:sz w:val="24"/>
          <w:szCs w:val="24"/>
          <w:lang w:eastAsia="bg-BG"/>
        </w:rPr>
      </w:pPr>
      <w:r w:rsidRPr="00037F6E">
        <w:rPr>
          <w:rFonts w:ascii="Times New Roman" w:eastAsia="Times New Roman" w:hAnsi="Times New Roman" w:cs="Times New Roman"/>
          <w:sz w:val="24"/>
          <w:szCs w:val="24"/>
          <w:lang w:eastAsia="bg-BG"/>
        </w:rPr>
        <w:t>За периода от 01.01.2021 г. до 30.06.2021 г., в КЗК са депозирани 516 жалби по ЗОП. Издадени са 73 разпореждания на председателя на КЗК, с които е отказано образуване на производство. За същия период са образувани 468</w:t>
      </w:r>
      <w:r w:rsidRPr="00037F6E">
        <w:rPr>
          <w:rFonts w:ascii="Times New Roman" w:eastAsia="Times New Roman" w:hAnsi="Times New Roman" w:cs="Times New Roman"/>
          <w:b/>
          <w:sz w:val="24"/>
          <w:szCs w:val="24"/>
          <w:lang w:eastAsia="bg-BG"/>
        </w:rPr>
        <w:t xml:space="preserve"> </w:t>
      </w:r>
      <w:r w:rsidRPr="00037F6E">
        <w:rPr>
          <w:rFonts w:ascii="Times New Roman" w:eastAsia="Times New Roman" w:hAnsi="Times New Roman" w:cs="Times New Roman"/>
          <w:sz w:val="24"/>
          <w:szCs w:val="24"/>
          <w:lang w:eastAsia="bg-BG"/>
        </w:rPr>
        <w:t>преписки.</w:t>
      </w:r>
    </w:p>
    <w:p w14:paraId="703B3D48" w14:textId="77777777" w:rsidR="001B434A" w:rsidRPr="00037F6E" w:rsidRDefault="001B434A" w:rsidP="00037F6E">
      <w:pPr>
        <w:spacing w:after="0" w:line="276" w:lineRule="auto"/>
        <w:ind w:firstLine="708"/>
        <w:jc w:val="both"/>
        <w:rPr>
          <w:rFonts w:ascii="Times New Roman" w:eastAsia="Times New Roman" w:hAnsi="Times New Roman" w:cs="Times New Roman"/>
          <w:sz w:val="24"/>
          <w:szCs w:val="24"/>
          <w:lang w:eastAsia="bg-BG"/>
        </w:rPr>
      </w:pPr>
      <w:r w:rsidRPr="00037F6E">
        <w:rPr>
          <w:rFonts w:ascii="Times New Roman" w:eastAsia="Times New Roman" w:hAnsi="Times New Roman" w:cs="Times New Roman"/>
          <w:sz w:val="24"/>
          <w:szCs w:val="24"/>
          <w:lang w:eastAsia="bg-BG"/>
        </w:rPr>
        <w:t xml:space="preserve"> </w:t>
      </w:r>
      <w:r w:rsidRPr="00037F6E">
        <w:rPr>
          <w:rFonts w:ascii="Times New Roman" w:eastAsia="Times New Roman" w:hAnsi="Times New Roman" w:cs="Times New Roman"/>
          <w:color w:val="000000" w:themeColor="text1"/>
          <w:sz w:val="24"/>
          <w:szCs w:val="24"/>
          <w:lang w:eastAsia="bg-BG"/>
        </w:rPr>
        <w:t xml:space="preserve">КЗК е постановила общо 581 акта (368 решения и 213 определения), </w:t>
      </w:r>
      <w:r w:rsidRPr="00037F6E">
        <w:rPr>
          <w:rFonts w:ascii="Times New Roman" w:eastAsia="Times New Roman" w:hAnsi="Times New Roman" w:cs="Times New Roman"/>
          <w:sz w:val="24"/>
          <w:szCs w:val="24"/>
          <w:lang w:eastAsia="bg-BG"/>
        </w:rPr>
        <w:t xml:space="preserve">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 </w:t>
      </w:r>
    </w:p>
    <w:p w14:paraId="2BAAF263" w14:textId="77777777" w:rsidR="001B434A" w:rsidRPr="00037F6E" w:rsidRDefault="001B434A" w:rsidP="00037F6E">
      <w:pPr>
        <w:spacing w:after="0" w:line="276" w:lineRule="auto"/>
        <w:ind w:firstLine="708"/>
        <w:jc w:val="both"/>
        <w:rPr>
          <w:rFonts w:ascii="Times New Roman" w:eastAsia="Times New Roman" w:hAnsi="Times New Roman" w:cs="Times New Roman"/>
          <w:sz w:val="24"/>
          <w:szCs w:val="24"/>
          <w:lang w:eastAsia="bg-BG"/>
        </w:rPr>
      </w:pPr>
      <w:r w:rsidRPr="00037F6E">
        <w:rPr>
          <w:rFonts w:ascii="Times New Roman" w:eastAsia="Times New Roman" w:hAnsi="Times New Roman" w:cs="Times New Roman"/>
          <w:sz w:val="24"/>
          <w:szCs w:val="24"/>
          <w:lang w:eastAsia="bg-BG"/>
        </w:rPr>
        <w:t>С  248 решения подадената пред КЗК жалба е оставена без уважение. Постановени са 12 решения, с които са отменени решения на възложителите за откриване на процедури за възлагане на обществени поръчки. По 103 производства КЗК е отменила незаконосъобразното решение на възложителя, като е върнала преписката със задължителни указания по хода на процедурата. В 8 производства КЗК е установила незаконосъобразност на обжалвано решение.</w:t>
      </w:r>
    </w:p>
    <w:p w14:paraId="18CEEB46" w14:textId="65A7E51D" w:rsidR="001B434A" w:rsidRPr="00037F6E" w:rsidRDefault="001B434A" w:rsidP="00861564">
      <w:pPr>
        <w:spacing w:after="0" w:line="276" w:lineRule="auto"/>
        <w:jc w:val="both"/>
        <w:rPr>
          <w:rFonts w:ascii="Times New Roman" w:eastAsia="Times New Roman" w:hAnsi="Times New Roman" w:cs="Times New Roman"/>
          <w:sz w:val="24"/>
          <w:szCs w:val="24"/>
          <w:lang w:eastAsia="bg-BG"/>
        </w:rPr>
      </w:pPr>
      <w:r w:rsidRPr="00037F6E">
        <w:rPr>
          <w:rFonts w:ascii="Times New Roman" w:hAnsi="Times New Roman" w:cs="Times New Roman"/>
          <w:sz w:val="24"/>
          <w:szCs w:val="24"/>
        </w:rPr>
        <w:t>В 2 случая КЗК е наложила на възложителя санкция в размер едно на сто от стойността на сключения по поръчката договор.</w:t>
      </w:r>
    </w:p>
    <w:p w14:paraId="55249D8B" w14:textId="77777777" w:rsidR="001B434A" w:rsidRPr="00037F6E" w:rsidRDefault="001B434A" w:rsidP="00037F6E">
      <w:pPr>
        <w:spacing w:after="0" w:line="276" w:lineRule="auto"/>
        <w:ind w:firstLine="708"/>
        <w:jc w:val="both"/>
        <w:rPr>
          <w:rFonts w:ascii="Times New Roman" w:eastAsia="Times New Roman" w:hAnsi="Times New Roman" w:cs="Times New Roman"/>
          <w:sz w:val="24"/>
          <w:szCs w:val="24"/>
          <w:lang w:eastAsia="bg-BG"/>
        </w:rPr>
      </w:pPr>
      <w:r w:rsidRPr="00037F6E">
        <w:rPr>
          <w:rFonts w:ascii="Times New Roman" w:hAnsi="Times New Roman" w:cs="Times New Roman"/>
          <w:sz w:val="24"/>
          <w:szCs w:val="24"/>
        </w:rPr>
        <w:t xml:space="preserve">В един от случаите </w:t>
      </w:r>
      <w:r w:rsidRPr="00037F6E">
        <w:rPr>
          <w:rFonts w:ascii="Times New Roman" w:eastAsia="Times New Roman" w:hAnsi="Times New Roman" w:cs="Times New Roman"/>
          <w:sz w:val="24"/>
          <w:szCs w:val="24"/>
          <w:lang w:eastAsia="bg-BG"/>
        </w:rPr>
        <w:t>КЗК е наложила имуществена санкция</w:t>
      </w:r>
      <w:r w:rsidRPr="00037F6E">
        <w:rPr>
          <w:rFonts w:ascii="Times New Roman" w:hAnsi="Times New Roman" w:cs="Times New Roman"/>
          <w:sz w:val="24"/>
          <w:szCs w:val="24"/>
        </w:rPr>
        <w:t xml:space="preserve"> в размер на 0,5 % от стойността на сключения договор във връзка с изпълнението на решение на Върховния административен съд,  с което съдът</w:t>
      </w:r>
      <w:r w:rsidRPr="00037F6E">
        <w:rPr>
          <w:rFonts w:ascii="Times New Roman" w:eastAsia="Times New Roman" w:hAnsi="Times New Roman" w:cs="Times New Roman"/>
          <w:sz w:val="24"/>
          <w:szCs w:val="24"/>
          <w:lang w:eastAsia="bg-BG"/>
        </w:rPr>
        <w:t xml:space="preserve"> е отменил решението на КЗК и е  върнал за налагане на имуществена санкция</w:t>
      </w:r>
      <w:r w:rsidRPr="00037F6E">
        <w:rPr>
          <w:rFonts w:ascii="Times New Roman" w:hAnsi="Times New Roman" w:cs="Times New Roman"/>
          <w:sz w:val="24"/>
          <w:szCs w:val="24"/>
        </w:rPr>
        <w:t>.</w:t>
      </w:r>
      <w:r w:rsidRPr="00037F6E">
        <w:rPr>
          <w:rFonts w:ascii="Times New Roman" w:eastAsia="Times New Roman" w:hAnsi="Times New Roman" w:cs="Times New Roman"/>
          <w:sz w:val="24"/>
          <w:szCs w:val="24"/>
          <w:lang w:eastAsia="bg-BG"/>
        </w:rPr>
        <w:t xml:space="preserve"> </w:t>
      </w:r>
    </w:p>
    <w:p w14:paraId="78BCB16A" w14:textId="05B17EA8" w:rsidR="001B434A" w:rsidRDefault="001B434A" w:rsidP="00037F6E">
      <w:pPr>
        <w:spacing w:after="0" w:line="276" w:lineRule="auto"/>
        <w:ind w:firstLine="708"/>
        <w:jc w:val="both"/>
        <w:rPr>
          <w:rFonts w:ascii="Times New Roman" w:eastAsia="Times New Roman" w:hAnsi="Times New Roman" w:cs="Times New Roman"/>
          <w:sz w:val="24"/>
          <w:szCs w:val="24"/>
          <w:lang w:eastAsia="bg-BG"/>
        </w:rPr>
      </w:pPr>
    </w:p>
    <w:p w14:paraId="0554B340" w14:textId="77777777" w:rsidR="00861564" w:rsidRPr="00037F6E" w:rsidRDefault="00861564" w:rsidP="00037F6E">
      <w:pPr>
        <w:spacing w:after="0" w:line="276" w:lineRule="auto"/>
        <w:ind w:firstLine="708"/>
        <w:jc w:val="both"/>
        <w:rPr>
          <w:rFonts w:ascii="Times New Roman" w:eastAsia="Times New Roman" w:hAnsi="Times New Roman" w:cs="Times New Roman"/>
          <w:sz w:val="24"/>
          <w:szCs w:val="24"/>
          <w:lang w:eastAsia="bg-BG"/>
        </w:rPr>
      </w:pPr>
    </w:p>
    <w:p w14:paraId="79EF1A21" w14:textId="77777777" w:rsidR="001B434A" w:rsidRPr="00037F6E" w:rsidRDefault="001B434A" w:rsidP="00037F6E">
      <w:pPr>
        <w:spacing w:after="0" w:line="276" w:lineRule="auto"/>
        <w:ind w:firstLine="708"/>
        <w:jc w:val="both"/>
        <w:rPr>
          <w:rFonts w:ascii="Times New Roman" w:eastAsia="Times New Roman" w:hAnsi="Times New Roman" w:cs="Times New Roman"/>
          <w:sz w:val="24"/>
          <w:szCs w:val="24"/>
          <w:lang w:eastAsia="bg-BG"/>
        </w:rPr>
      </w:pPr>
      <w:r w:rsidRPr="00037F6E">
        <w:rPr>
          <w:rFonts w:ascii="Times New Roman" w:eastAsia="Times New Roman" w:hAnsi="Times New Roman" w:cs="Times New Roman"/>
          <w:sz w:val="24"/>
          <w:szCs w:val="24"/>
          <w:lang w:eastAsia="bg-BG"/>
        </w:rPr>
        <w:lastRenderedPageBreak/>
        <w:t>Следва да се отчита, че има производства, по които КЗК се е произнесла с повече от един диспозитив (когато са постъпили повече от една жалби срещу решение/действие/бездействие на възложител и те са обединени за разглеждане в общо производство или когато жалбата касае различни обособени позиции по една процедура на възложител).</w:t>
      </w:r>
    </w:p>
    <w:p w14:paraId="64CA501C" w14:textId="77777777" w:rsidR="001B434A" w:rsidRPr="00037F6E" w:rsidRDefault="001B434A" w:rsidP="00037F6E">
      <w:pPr>
        <w:spacing w:after="0" w:line="276" w:lineRule="auto"/>
        <w:ind w:firstLine="708"/>
        <w:jc w:val="both"/>
        <w:rPr>
          <w:rFonts w:ascii="Times New Roman" w:eastAsia="Times New Roman" w:hAnsi="Times New Roman" w:cs="Times New Roman"/>
          <w:lang w:eastAsia="bg-BG"/>
        </w:rPr>
      </w:pPr>
      <w:r w:rsidRPr="00037F6E">
        <w:rPr>
          <w:rFonts w:ascii="Times New Roman" w:eastAsia="Times New Roman" w:hAnsi="Times New Roman" w:cs="Times New Roman"/>
          <w:sz w:val="24"/>
          <w:szCs w:val="24"/>
          <w:lang w:eastAsia="bg-BG"/>
        </w:rPr>
        <w:t xml:space="preserve">С 52 определения КЗК е оставила без уважение направено искане за налагане на временна мярка „спиране на процедурата“, в 5 определения е наложила мярката, а в 15 случая искането е оставено без разглеждане.  </w:t>
      </w:r>
    </w:p>
    <w:p w14:paraId="40702035" w14:textId="77777777" w:rsidR="001B434A" w:rsidRPr="00037F6E" w:rsidRDefault="001B434A" w:rsidP="00037F6E">
      <w:pPr>
        <w:spacing w:after="0" w:line="276" w:lineRule="auto"/>
        <w:ind w:firstLine="708"/>
        <w:jc w:val="both"/>
        <w:rPr>
          <w:rFonts w:ascii="Times New Roman" w:eastAsia="Times New Roman" w:hAnsi="Times New Roman" w:cs="Times New Roman"/>
          <w:lang w:eastAsia="bg-BG"/>
        </w:rPr>
      </w:pPr>
      <w:r w:rsidRPr="00037F6E">
        <w:rPr>
          <w:rFonts w:ascii="Times New Roman" w:eastAsia="Times New Roman" w:hAnsi="Times New Roman" w:cs="Times New Roman"/>
          <w:sz w:val="24"/>
          <w:szCs w:val="24"/>
          <w:lang w:eastAsia="bg-BG"/>
        </w:rPr>
        <w:t>С</w:t>
      </w:r>
      <w:r w:rsidRPr="00037F6E">
        <w:rPr>
          <w:rFonts w:ascii="Times New Roman" w:eastAsia="Times New Roman" w:hAnsi="Times New Roman" w:cs="Times New Roman"/>
          <w:sz w:val="24"/>
          <w:szCs w:val="24"/>
          <w:lang w:val="en-US" w:eastAsia="bg-BG"/>
        </w:rPr>
        <w:t xml:space="preserve"> </w:t>
      </w:r>
      <w:r w:rsidRPr="00037F6E">
        <w:rPr>
          <w:rFonts w:ascii="Times New Roman" w:eastAsia="Times New Roman" w:hAnsi="Times New Roman" w:cs="Times New Roman"/>
          <w:sz w:val="24"/>
          <w:szCs w:val="24"/>
          <w:lang w:eastAsia="bg-BG"/>
        </w:rPr>
        <w:t xml:space="preserve">23 определения КЗК е допуснала предварително изпълнение на обжалваното решение на възложителя, с 17 определения отправеното искане е оставено без уважение, а в 9 случая - без разглеждане.  </w:t>
      </w:r>
    </w:p>
    <w:p w14:paraId="28906985" w14:textId="77777777" w:rsidR="001B434A" w:rsidRPr="00037F6E" w:rsidRDefault="001B434A" w:rsidP="00037F6E">
      <w:pPr>
        <w:spacing w:after="0" w:line="276" w:lineRule="auto"/>
        <w:ind w:firstLine="708"/>
        <w:jc w:val="both"/>
        <w:rPr>
          <w:rFonts w:ascii="Times New Roman" w:eastAsia="Times New Roman" w:hAnsi="Times New Roman" w:cs="Times New Roman"/>
          <w:lang w:eastAsia="bg-BG"/>
        </w:rPr>
      </w:pPr>
      <w:r w:rsidRPr="00037F6E">
        <w:rPr>
          <w:rFonts w:ascii="Times New Roman" w:eastAsia="Times New Roman" w:hAnsi="Times New Roman" w:cs="Times New Roman"/>
          <w:sz w:val="24"/>
          <w:szCs w:val="24"/>
          <w:lang w:eastAsia="bg-BG"/>
        </w:rPr>
        <w:t xml:space="preserve">Постановени са 74 определения, с които жалбата е оставена без разглеждане, а образуваното пред КЗК производство е прекратено. </w:t>
      </w:r>
    </w:p>
    <w:p w14:paraId="472CEC1B" w14:textId="77777777" w:rsidR="001B434A" w:rsidRPr="00037F6E" w:rsidRDefault="001B434A" w:rsidP="00037F6E">
      <w:pPr>
        <w:spacing w:after="0" w:line="276" w:lineRule="auto"/>
        <w:ind w:firstLine="708"/>
        <w:jc w:val="both"/>
        <w:rPr>
          <w:rFonts w:ascii="Times New Roman" w:eastAsia="Times New Roman" w:hAnsi="Times New Roman" w:cs="Times New Roman"/>
          <w:sz w:val="24"/>
          <w:szCs w:val="24"/>
          <w:lang w:eastAsia="bg-BG"/>
        </w:rPr>
      </w:pPr>
      <w:r w:rsidRPr="00037F6E">
        <w:rPr>
          <w:rFonts w:ascii="Times New Roman" w:eastAsia="Times New Roman" w:hAnsi="Times New Roman" w:cs="Times New Roman"/>
          <w:sz w:val="24"/>
          <w:szCs w:val="24"/>
          <w:lang w:eastAsia="bg-BG"/>
        </w:rPr>
        <w:t xml:space="preserve">Останалите 37 броя определяния, касаят спиране (3 бр.), съответно възобновяване на спряно производство (2 бр.), както и произнасяне по искане за изменение и/или допълнение на решение/определение на КЗК, в частта за разноските (32 бр.). </w:t>
      </w:r>
    </w:p>
    <w:p w14:paraId="216AAB04" w14:textId="77777777" w:rsidR="001B434A" w:rsidRPr="00037F6E" w:rsidRDefault="001B434A" w:rsidP="00037F6E">
      <w:pPr>
        <w:spacing w:after="0" w:line="276" w:lineRule="auto"/>
        <w:ind w:firstLine="708"/>
        <w:jc w:val="both"/>
        <w:rPr>
          <w:rFonts w:ascii="Times New Roman" w:eastAsia="Times New Roman" w:hAnsi="Times New Roman" w:cs="Times New Roman"/>
          <w:sz w:val="24"/>
          <w:szCs w:val="24"/>
          <w:lang w:eastAsia="bg-BG"/>
        </w:rPr>
      </w:pPr>
    </w:p>
    <w:p w14:paraId="60B9C126" w14:textId="1BA21195" w:rsidR="00952704" w:rsidRPr="00037F6E" w:rsidRDefault="001B434A" w:rsidP="00037F6E">
      <w:pPr>
        <w:pStyle w:val="ListParagraph"/>
        <w:numPr>
          <w:ilvl w:val="0"/>
          <w:numId w:val="7"/>
        </w:numPr>
        <w:spacing w:line="276" w:lineRule="auto"/>
        <w:ind w:left="1134" w:hanging="426"/>
        <w:jc w:val="both"/>
        <w:rPr>
          <w:rFonts w:ascii="Times New Roman" w:eastAsia="Times New Roman" w:hAnsi="Times New Roman" w:cs="Times New Roman"/>
          <w:b/>
          <w:lang w:eastAsia="bg-BG"/>
        </w:rPr>
      </w:pPr>
      <w:r w:rsidRPr="00037F6E">
        <w:rPr>
          <w:rFonts w:ascii="Times New Roman" w:eastAsia="Times New Roman" w:hAnsi="Times New Roman" w:cs="Times New Roman"/>
          <w:b/>
          <w:lang w:eastAsia="bg-BG"/>
        </w:rPr>
        <w:t>Дейност по Закона за концесиите</w:t>
      </w:r>
    </w:p>
    <w:p w14:paraId="23B53A6C" w14:textId="475A685E" w:rsidR="001B434A" w:rsidRPr="00037F6E" w:rsidRDefault="001B434A" w:rsidP="00037F6E">
      <w:pPr>
        <w:spacing w:after="0" w:line="276" w:lineRule="auto"/>
        <w:ind w:firstLine="708"/>
        <w:jc w:val="both"/>
        <w:rPr>
          <w:b/>
          <w:bCs/>
          <w:color w:val="000000"/>
        </w:rPr>
      </w:pPr>
      <w:r w:rsidRPr="00037F6E">
        <w:rPr>
          <w:rFonts w:ascii="Times New Roman" w:eastAsia="Times New Roman" w:hAnsi="Times New Roman" w:cs="Times New Roman"/>
          <w:sz w:val="24"/>
          <w:szCs w:val="24"/>
          <w:lang w:eastAsia="bg-BG"/>
        </w:rPr>
        <w:t>За периода от 01.01.2021 г. до 30.06.2021 г., в КЗК са депозирани 10 жалби по ЗК. За посочения период няма издадени разпореждания на председателя на КЗК, за отказ от образуване на производство. За същия период са образувани 10 преписки от които 6 жалби срещу решение за откриване на процедура за възлагане на концесия, 2 жалби срещу решение за определяне на концесионер и 2 жалби срещу решение за прекратяване на процедура за възлагане на концесия.</w:t>
      </w:r>
    </w:p>
    <w:p w14:paraId="7A8F0EEF" w14:textId="78DD5888" w:rsidR="001B434A" w:rsidRDefault="001B434A" w:rsidP="00037F6E">
      <w:pPr>
        <w:pStyle w:val="NormalWeb"/>
        <w:spacing w:line="276" w:lineRule="auto"/>
        <w:ind w:firstLine="709"/>
      </w:pPr>
      <w:r w:rsidRPr="00037F6E">
        <w:t>КЗК е постановила общо 13 акта: 7 решения и 6 определения. В 7 -те решения, издадени за периода, КЗК е оставила подадените жалби без уважение. В един от случаите отправеното искане за допускане на предварително изпълнение на обжалваното решение на концедента е оставено без разглеждане. По една от подадените жалби е наложена временна мярка „спиране на процедурата“ за предоставяне на концесия, а по три от подадените жалби временната мярка е оставена без уважение. С едно определение КЗК е оставила без уважение искането на жалбоподателя за изменение на решението в частта за разноските.</w:t>
      </w:r>
    </w:p>
    <w:p w14:paraId="5E9A6466" w14:textId="77777777" w:rsidR="00037F6E" w:rsidRPr="00037F6E" w:rsidRDefault="00037F6E" w:rsidP="00037F6E">
      <w:pPr>
        <w:pStyle w:val="NormalWeb"/>
        <w:spacing w:line="276" w:lineRule="auto"/>
        <w:ind w:firstLine="709"/>
      </w:pPr>
    </w:p>
    <w:p w14:paraId="4249C785" w14:textId="77777777" w:rsidR="00D11963" w:rsidRPr="00037F6E" w:rsidRDefault="00A37AE7" w:rsidP="00037F6E">
      <w:pPr>
        <w:spacing w:before="120" w:after="120" w:line="276" w:lineRule="auto"/>
        <w:jc w:val="both"/>
        <w:rPr>
          <w:rFonts w:ascii="Times New Roman" w:hAnsi="Times New Roman" w:cs="Times New Roman"/>
          <w:b/>
          <w:i/>
          <w:sz w:val="24"/>
          <w:szCs w:val="24"/>
        </w:rPr>
      </w:pPr>
      <w:r w:rsidRPr="00037F6E">
        <w:rPr>
          <w:rFonts w:ascii="Times New Roman" w:hAnsi="Times New Roman" w:cs="Times New Roman"/>
          <w:b/>
          <w:i/>
          <w:sz w:val="24"/>
          <w:szCs w:val="24"/>
        </w:rPr>
        <w:t>в)</w:t>
      </w:r>
      <w:r w:rsidR="00747418" w:rsidRPr="00037F6E">
        <w:rPr>
          <w:rFonts w:ascii="Times New Roman" w:hAnsi="Times New Roman" w:cs="Times New Roman"/>
          <w:b/>
          <w:i/>
          <w:sz w:val="24"/>
          <w:szCs w:val="24"/>
        </w:rPr>
        <w:t xml:space="preserve"> Отчет на показателите за изпълнение на бюджетната програма</w:t>
      </w:r>
      <w:r w:rsidRPr="00037F6E">
        <w:rPr>
          <w:rFonts w:ascii="Times New Roman" w:hAnsi="Times New Roman" w:cs="Times New Roman"/>
          <w:b/>
          <w:i/>
          <w:sz w:val="24"/>
          <w:szCs w:val="24"/>
        </w:rPr>
        <w:t xml:space="preserve"> </w:t>
      </w:r>
    </w:p>
    <w:p w14:paraId="4E02FB5E" w14:textId="4F02ADBF" w:rsidR="00903DBB" w:rsidRDefault="00E30400" w:rsidP="00037F6E">
      <w:pPr>
        <w:spacing w:after="120" w:line="276" w:lineRule="auto"/>
        <w:jc w:val="both"/>
        <w:rPr>
          <w:rFonts w:ascii="Times New Roman" w:hAnsi="Times New Roman" w:cs="Times New Roman"/>
          <w:sz w:val="24"/>
          <w:szCs w:val="24"/>
        </w:rPr>
      </w:pPr>
      <w:r w:rsidRPr="00037F6E">
        <w:rPr>
          <w:rFonts w:ascii="Times New Roman" w:hAnsi="Times New Roman" w:cs="Times New Roman"/>
          <w:i/>
          <w:sz w:val="24"/>
          <w:szCs w:val="24"/>
        </w:rPr>
        <w:t>Бюджетната п</w:t>
      </w:r>
      <w:r w:rsidR="004635A4" w:rsidRPr="00037F6E">
        <w:rPr>
          <w:rFonts w:ascii="Times New Roman" w:hAnsi="Times New Roman" w:cs="Times New Roman"/>
          <w:i/>
          <w:sz w:val="24"/>
          <w:szCs w:val="24"/>
        </w:rPr>
        <w:t>рограма</w:t>
      </w:r>
      <w:r w:rsidR="004635A4" w:rsidRPr="00037F6E">
        <w:rPr>
          <w:rFonts w:ascii="Times New Roman" w:hAnsi="Times New Roman" w:cs="Times New Roman"/>
          <w:sz w:val="24"/>
          <w:szCs w:val="24"/>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037F6E">
        <w:rPr>
          <w:rFonts w:ascii="Times New Roman" w:hAnsi="Times New Roman" w:cs="Times New Roman"/>
          <w:sz w:val="24"/>
          <w:szCs w:val="24"/>
        </w:rPr>
        <w:t>тойности по тях не е приложимо.</w:t>
      </w:r>
      <w:r w:rsidR="00222918" w:rsidRPr="00037F6E">
        <w:rPr>
          <w:rFonts w:ascii="Times New Roman" w:hAnsi="Times New Roman" w:cs="Times New Roman"/>
          <w:b/>
          <w:i/>
          <w:sz w:val="24"/>
          <w:szCs w:val="24"/>
        </w:rPr>
        <w:t xml:space="preserve"> </w:t>
      </w:r>
      <w:r w:rsidR="004635A4" w:rsidRPr="00037F6E">
        <w:rPr>
          <w:rFonts w:ascii="Times New Roman" w:hAnsi="Times New Roman" w:cs="Times New Roman"/>
          <w:sz w:val="24"/>
          <w:szCs w:val="24"/>
        </w:rPr>
        <w:t xml:space="preserve">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w:t>
      </w:r>
      <w:r w:rsidR="004635A4" w:rsidRPr="00037F6E">
        <w:rPr>
          <w:rFonts w:ascii="Times New Roman" w:hAnsi="Times New Roman" w:cs="Times New Roman"/>
          <w:sz w:val="24"/>
          <w:szCs w:val="24"/>
        </w:rPr>
        <w:lastRenderedPageBreak/>
        <w:t>изпълнение, поради което не може да бъде предоставена информация за нали</w:t>
      </w:r>
      <w:r w:rsidR="00222918" w:rsidRPr="00037F6E">
        <w:rPr>
          <w:rFonts w:ascii="Times New Roman" w:hAnsi="Times New Roman" w:cs="Times New Roman"/>
          <w:sz w:val="24"/>
          <w:szCs w:val="24"/>
        </w:rPr>
        <w:t>чността и качеството на данните.</w:t>
      </w:r>
    </w:p>
    <w:p w14:paraId="235556B9" w14:textId="7F6C1EB7" w:rsidR="003A5974" w:rsidRPr="00A44FA4" w:rsidRDefault="003A5974" w:rsidP="00222918">
      <w:pPr>
        <w:spacing w:before="120" w:after="120"/>
        <w:jc w:val="both"/>
        <w:rPr>
          <w:rFonts w:ascii="Times New Roman" w:hAnsi="Times New Roman" w:cs="Times New Roman"/>
          <w:sz w:val="24"/>
          <w:szCs w:val="24"/>
        </w:rPr>
      </w:pPr>
    </w:p>
    <w:p w14:paraId="32856194" w14:textId="6E6DEB92" w:rsidR="00222918" w:rsidRPr="00037F6E" w:rsidRDefault="00222918" w:rsidP="00222918">
      <w:pPr>
        <w:spacing w:after="0" w:line="240" w:lineRule="auto"/>
        <w:jc w:val="both"/>
        <w:rPr>
          <w:rFonts w:ascii="Times New Roman" w:eastAsia="Times New Roman" w:hAnsi="Times New Roman" w:cs="Times New Roman"/>
          <w:b/>
          <w:i/>
          <w:color w:val="000000" w:themeColor="text1"/>
          <w:sz w:val="24"/>
          <w:szCs w:val="24"/>
          <w:lang w:eastAsia="bg-BG"/>
        </w:rPr>
      </w:pPr>
      <w:r w:rsidRPr="00A44FA4">
        <w:rPr>
          <w:rFonts w:ascii="Times New Roman" w:eastAsia="Times New Roman" w:hAnsi="Times New Roman" w:cs="Times New Roman"/>
          <w:b/>
          <w:i/>
          <w:sz w:val="24"/>
          <w:szCs w:val="24"/>
          <w:lang w:eastAsia="bg-BG"/>
        </w:rPr>
        <w:t>г</w:t>
      </w:r>
      <w:r w:rsidRPr="00037F6E">
        <w:rPr>
          <w:rFonts w:ascii="Times New Roman" w:eastAsia="Times New Roman" w:hAnsi="Times New Roman" w:cs="Times New Roman"/>
          <w:b/>
          <w:i/>
          <w:color w:val="000000" w:themeColor="text1"/>
          <w:sz w:val="24"/>
          <w:szCs w:val="24"/>
          <w:lang w:eastAsia="bg-BG"/>
        </w:rPr>
        <w:t>)</w:t>
      </w:r>
      <w:r w:rsidR="003A5974" w:rsidRPr="00037F6E">
        <w:rPr>
          <w:rFonts w:ascii="Times New Roman" w:eastAsia="Times New Roman" w:hAnsi="Times New Roman" w:cs="Times New Roman"/>
          <w:b/>
          <w:i/>
          <w:color w:val="000000" w:themeColor="text1"/>
          <w:sz w:val="24"/>
          <w:szCs w:val="24"/>
          <w:lang w:eastAsia="bg-BG"/>
        </w:rPr>
        <w:t xml:space="preserve"> Отчет на разходите по бюджетните програми с разпределение по ведомствени и администрирани разходи – Приложение № 7</w:t>
      </w:r>
    </w:p>
    <w:p w14:paraId="41FD2FDA" w14:textId="77777777" w:rsidR="00222918" w:rsidRPr="00037F6E" w:rsidRDefault="00222918" w:rsidP="00222918">
      <w:pPr>
        <w:widowControl w:val="0"/>
        <w:spacing w:after="0" w:line="276" w:lineRule="auto"/>
        <w:ind w:left="709" w:hanging="709"/>
        <w:jc w:val="both"/>
        <w:rPr>
          <w:rFonts w:ascii="Times New Roman" w:eastAsia="Times New Roman" w:hAnsi="Times New Roman" w:cs="Times New Roman"/>
          <w:b/>
          <w:color w:val="000000" w:themeColor="text1"/>
          <w:sz w:val="24"/>
          <w:szCs w:val="24"/>
          <w:lang w:val="en-US"/>
        </w:rPr>
      </w:pPr>
    </w:p>
    <w:tbl>
      <w:tblPr>
        <w:tblW w:w="9320" w:type="dxa"/>
        <w:tblInd w:w="-10" w:type="dxa"/>
        <w:tblCellMar>
          <w:left w:w="70" w:type="dxa"/>
          <w:right w:w="70" w:type="dxa"/>
        </w:tblCellMar>
        <w:tblLook w:val="04A0" w:firstRow="1" w:lastRow="0" w:firstColumn="1" w:lastColumn="0" w:noHBand="0" w:noVBand="1"/>
      </w:tblPr>
      <w:tblGrid>
        <w:gridCol w:w="960"/>
        <w:gridCol w:w="5480"/>
        <w:gridCol w:w="960"/>
        <w:gridCol w:w="960"/>
        <w:gridCol w:w="960"/>
      </w:tblGrid>
      <w:tr w:rsidR="003A5974" w:rsidRPr="00037F6E" w14:paraId="1C31A7EB" w14:textId="77777777" w:rsidTr="00745CD0">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14:paraId="3B7B674C" w14:textId="77777777" w:rsidR="003A5974" w:rsidRPr="00037F6E" w:rsidRDefault="003A5974"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14:paraId="0836AA8D" w14:textId="77777777" w:rsidR="003A5974" w:rsidRPr="00037F6E"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43991D4" w14:textId="77777777" w:rsidR="003A5974" w:rsidRPr="00037F6E" w:rsidRDefault="003A5974"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F9C4B1C" w14:textId="77777777" w:rsidR="003A5974" w:rsidRPr="00037F6E" w:rsidRDefault="003A5974"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9FA2386" w14:textId="77777777" w:rsidR="003A5974" w:rsidRPr="00037F6E" w:rsidRDefault="003A5974"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Отчет</w:t>
            </w:r>
          </w:p>
        </w:tc>
      </w:tr>
      <w:tr w:rsidR="003A5974" w:rsidRPr="00037F6E" w14:paraId="21E46FA4" w14:textId="77777777" w:rsidTr="00745CD0">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803ACDA" w14:textId="77777777" w:rsidR="003A5974" w:rsidRPr="00037F6E"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14:paraId="000AEFCE" w14:textId="77777777" w:rsidR="003A5974" w:rsidRPr="00037F6E" w:rsidRDefault="003A5974"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(в лева)</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E9E65B0" w14:textId="77777777" w:rsidR="003A5974" w:rsidRPr="00037F6E"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DAFDF16" w14:textId="77777777" w:rsidR="003A5974" w:rsidRPr="00037F6E"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F0E47C7" w14:textId="77777777" w:rsidR="003A5974" w:rsidRPr="00037F6E"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p>
        </w:tc>
      </w:tr>
      <w:tr w:rsidR="003A5974" w:rsidRPr="00037F6E" w14:paraId="04801AF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39BB1F5" w14:textId="77777777" w:rsidR="003A5974" w:rsidRPr="00037F6E"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14:paraId="1706D381" w14:textId="77777777" w:rsidR="003A5974" w:rsidRPr="00037F6E"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14:paraId="7BECCAFC"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5 835 400</w:t>
            </w:r>
          </w:p>
        </w:tc>
        <w:tc>
          <w:tcPr>
            <w:tcW w:w="960" w:type="dxa"/>
            <w:tcBorders>
              <w:top w:val="nil"/>
              <w:left w:val="nil"/>
              <w:bottom w:val="single" w:sz="8" w:space="0" w:color="auto"/>
              <w:right w:val="single" w:sz="8" w:space="0" w:color="auto"/>
            </w:tcBorders>
            <w:shd w:val="clear" w:color="000000" w:fill="E6E6E6"/>
            <w:noWrap/>
            <w:vAlign w:val="center"/>
            <w:hideMark/>
          </w:tcPr>
          <w:p w14:paraId="46341E8E"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5 745 000</w:t>
            </w:r>
          </w:p>
        </w:tc>
        <w:tc>
          <w:tcPr>
            <w:tcW w:w="960" w:type="dxa"/>
            <w:tcBorders>
              <w:top w:val="nil"/>
              <w:left w:val="nil"/>
              <w:bottom w:val="single" w:sz="8" w:space="0" w:color="auto"/>
              <w:right w:val="single" w:sz="8" w:space="0" w:color="auto"/>
            </w:tcBorders>
            <w:shd w:val="clear" w:color="000000" w:fill="E6E6E6"/>
            <w:noWrap/>
            <w:vAlign w:val="center"/>
            <w:hideMark/>
          </w:tcPr>
          <w:p w14:paraId="588514E9"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2 393 744</w:t>
            </w:r>
          </w:p>
        </w:tc>
      </w:tr>
      <w:tr w:rsidR="003A5974" w:rsidRPr="00037F6E" w14:paraId="1CAFC240"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1984EC7"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B12ED3B" w14:textId="77777777" w:rsidR="003A5974" w:rsidRPr="00037F6E" w:rsidRDefault="003A5974" w:rsidP="00745CD0">
            <w:pPr>
              <w:spacing w:after="0" w:line="240" w:lineRule="auto"/>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023A81A"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4 886 900</w:t>
            </w:r>
          </w:p>
        </w:tc>
        <w:tc>
          <w:tcPr>
            <w:tcW w:w="960" w:type="dxa"/>
            <w:tcBorders>
              <w:top w:val="nil"/>
              <w:left w:val="nil"/>
              <w:bottom w:val="single" w:sz="8" w:space="0" w:color="auto"/>
              <w:right w:val="single" w:sz="8" w:space="0" w:color="auto"/>
            </w:tcBorders>
            <w:shd w:val="clear" w:color="auto" w:fill="auto"/>
            <w:noWrap/>
            <w:vAlign w:val="center"/>
            <w:hideMark/>
          </w:tcPr>
          <w:p w14:paraId="22F4EC14"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4 886 900</w:t>
            </w:r>
          </w:p>
        </w:tc>
        <w:tc>
          <w:tcPr>
            <w:tcW w:w="960" w:type="dxa"/>
            <w:tcBorders>
              <w:top w:val="nil"/>
              <w:left w:val="nil"/>
              <w:bottom w:val="single" w:sz="8" w:space="0" w:color="auto"/>
              <w:right w:val="single" w:sz="8" w:space="0" w:color="auto"/>
            </w:tcBorders>
            <w:shd w:val="clear" w:color="auto" w:fill="auto"/>
            <w:noWrap/>
            <w:vAlign w:val="center"/>
            <w:hideMark/>
          </w:tcPr>
          <w:p w14:paraId="29116DD8"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2 162 766</w:t>
            </w:r>
          </w:p>
        </w:tc>
      </w:tr>
      <w:tr w:rsidR="003A5974" w:rsidRPr="00037F6E" w14:paraId="61CEC9EA"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BBCF5E"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90F12E1" w14:textId="77777777" w:rsidR="003A5974" w:rsidRPr="00037F6E" w:rsidRDefault="003A5974" w:rsidP="00745CD0">
            <w:pPr>
              <w:spacing w:after="0" w:line="240" w:lineRule="auto"/>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2541163"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14:paraId="4E2BE006"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14:paraId="043E36F3"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206 322</w:t>
            </w:r>
          </w:p>
        </w:tc>
      </w:tr>
      <w:tr w:rsidR="003A5974" w:rsidRPr="00037F6E" w14:paraId="67270B5C"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24F457"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5BEA1C0" w14:textId="77777777" w:rsidR="003A5974" w:rsidRPr="00037F6E" w:rsidRDefault="003A5974" w:rsidP="00745CD0">
            <w:pPr>
              <w:spacing w:after="0" w:line="240" w:lineRule="auto"/>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7D4FE4B0"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7D053F00"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109 600</w:t>
            </w:r>
          </w:p>
        </w:tc>
        <w:tc>
          <w:tcPr>
            <w:tcW w:w="960" w:type="dxa"/>
            <w:tcBorders>
              <w:top w:val="nil"/>
              <w:left w:val="nil"/>
              <w:bottom w:val="single" w:sz="8" w:space="0" w:color="auto"/>
              <w:right w:val="single" w:sz="8" w:space="0" w:color="auto"/>
            </w:tcBorders>
            <w:shd w:val="clear" w:color="auto" w:fill="auto"/>
            <w:noWrap/>
            <w:vAlign w:val="center"/>
            <w:hideMark/>
          </w:tcPr>
          <w:p w14:paraId="4D4EE7FF"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24 656</w:t>
            </w:r>
          </w:p>
        </w:tc>
      </w:tr>
      <w:tr w:rsidR="003A5974" w:rsidRPr="00037F6E" w14:paraId="3685D7E8"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FEBAD93" w14:textId="77777777" w:rsidR="003A5974" w:rsidRPr="00037F6E"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14:paraId="6F6EC27B" w14:textId="77777777" w:rsidR="003A5974" w:rsidRPr="00037F6E" w:rsidRDefault="003A5974" w:rsidP="00745CD0">
            <w:pPr>
              <w:spacing w:after="0" w:line="240" w:lineRule="auto"/>
              <w:ind w:firstLineChars="300" w:firstLine="540"/>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14:paraId="0727DFF9"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5 835 400</w:t>
            </w:r>
          </w:p>
        </w:tc>
        <w:tc>
          <w:tcPr>
            <w:tcW w:w="960" w:type="dxa"/>
            <w:tcBorders>
              <w:top w:val="nil"/>
              <w:left w:val="nil"/>
              <w:bottom w:val="single" w:sz="8" w:space="0" w:color="auto"/>
              <w:right w:val="single" w:sz="8" w:space="0" w:color="auto"/>
            </w:tcBorders>
            <w:shd w:val="clear" w:color="000000" w:fill="E6E6E6"/>
            <w:noWrap/>
            <w:vAlign w:val="center"/>
            <w:hideMark/>
          </w:tcPr>
          <w:p w14:paraId="1FC80D87"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5 745 000</w:t>
            </w:r>
          </w:p>
        </w:tc>
        <w:tc>
          <w:tcPr>
            <w:tcW w:w="960" w:type="dxa"/>
            <w:tcBorders>
              <w:top w:val="nil"/>
              <w:left w:val="nil"/>
              <w:bottom w:val="single" w:sz="8" w:space="0" w:color="auto"/>
              <w:right w:val="single" w:sz="8" w:space="0" w:color="auto"/>
            </w:tcBorders>
            <w:shd w:val="clear" w:color="000000" w:fill="E6E6E6"/>
            <w:noWrap/>
            <w:vAlign w:val="center"/>
            <w:hideMark/>
          </w:tcPr>
          <w:p w14:paraId="58BBC51D"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2 378 864</w:t>
            </w:r>
          </w:p>
        </w:tc>
      </w:tr>
      <w:tr w:rsidR="003A5974" w:rsidRPr="00037F6E" w14:paraId="6AB9A6CF"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B8A81D"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1216294B" w14:textId="77777777" w:rsidR="003A5974" w:rsidRPr="00037F6E" w:rsidRDefault="003A5974" w:rsidP="00745CD0">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73AE408"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4 886 900</w:t>
            </w:r>
          </w:p>
        </w:tc>
        <w:tc>
          <w:tcPr>
            <w:tcW w:w="960" w:type="dxa"/>
            <w:tcBorders>
              <w:top w:val="nil"/>
              <w:left w:val="nil"/>
              <w:bottom w:val="single" w:sz="8" w:space="0" w:color="auto"/>
              <w:right w:val="single" w:sz="8" w:space="0" w:color="auto"/>
            </w:tcBorders>
            <w:shd w:val="clear" w:color="auto" w:fill="auto"/>
            <w:noWrap/>
            <w:vAlign w:val="center"/>
            <w:hideMark/>
          </w:tcPr>
          <w:p w14:paraId="294AF32E"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4 886 900</w:t>
            </w:r>
          </w:p>
        </w:tc>
        <w:tc>
          <w:tcPr>
            <w:tcW w:w="960" w:type="dxa"/>
            <w:tcBorders>
              <w:top w:val="nil"/>
              <w:left w:val="nil"/>
              <w:bottom w:val="single" w:sz="8" w:space="0" w:color="auto"/>
              <w:right w:val="single" w:sz="8" w:space="0" w:color="auto"/>
            </w:tcBorders>
            <w:shd w:val="clear" w:color="auto" w:fill="auto"/>
            <w:noWrap/>
            <w:vAlign w:val="center"/>
            <w:hideMark/>
          </w:tcPr>
          <w:p w14:paraId="3B5FF152"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2 162 766</w:t>
            </w:r>
          </w:p>
        </w:tc>
      </w:tr>
      <w:tr w:rsidR="003A5974" w:rsidRPr="00037F6E" w14:paraId="121D23E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415319"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81DE89C" w14:textId="77777777" w:rsidR="003A5974" w:rsidRPr="00037F6E" w:rsidRDefault="003A5974" w:rsidP="00745CD0">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E716C54"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14:paraId="1055D38C"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14:paraId="47A14D3E"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191 442</w:t>
            </w:r>
          </w:p>
        </w:tc>
      </w:tr>
      <w:tr w:rsidR="003A5974" w:rsidRPr="00037F6E" w14:paraId="0855C03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F65F36"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0AF4062" w14:textId="77777777" w:rsidR="003A5974" w:rsidRPr="00037F6E" w:rsidRDefault="003A5974" w:rsidP="00745CD0">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1E45B810"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73B2FABA"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109 600</w:t>
            </w:r>
          </w:p>
        </w:tc>
        <w:tc>
          <w:tcPr>
            <w:tcW w:w="960" w:type="dxa"/>
            <w:tcBorders>
              <w:top w:val="nil"/>
              <w:left w:val="nil"/>
              <w:bottom w:val="single" w:sz="8" w:space="0" w:color="auto"/>
              <w:right w:val="single" w:sz="8" w:space="0" w:color="auto"/>
            </w:tcBorders>
            <w:shd w:val="clear" w:color="auto" w:fill="auto"/>
            <w:noWrap/>
            <w:vAlign w:val="center"/>
            <w:hideMark/>
          </w:tcPr>
          <w:p w14:paraId="3449A543"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24 656</w:t>
            </w:r>
          </w:p>
        </w:tc>
      </w:tr>
      <w:tr w:rsidR="003A5974" w:rsidRPr="00037F6E" w14:paraId="039E0E7E"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CBB3B98" w14:textId="77777777" w:rsidR="003A5974" w:rsidRPr="00037F6E"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14:paraId="15EA129C" w14:textId="77777777" w:rsidR="003A5974" w:rsidRPr="00037F6E" w:rsidRDefault="003A5974" w:rsidP="00745CD0">
            <w:pPr>
              <w:spacing w:after="0" w:line="240" w:lineRule="auto"/>
              <w:ind w:firstLineChars="300" w:firstLine="540"/>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14:paraId="4FD89CB9"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44014BEF"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00CAEACB"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14 880</w:t>
            </w:r>
          </w:p>
        </w:tc>
      </w:tr>
      <w:tr w:rsidR="003A5974" w:rsidRPr="00037F6E" w14:paraId="4FAADF17"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19EB9B6"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21475A76" w14:textId="77777777" w:rsidR="003A5974" w:rsidRPr="00037F6E" w:rsidRDefault="003A5974" w:rsidP="00745CD0">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49662534"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EAE088A"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258A8F5E"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0</w:t>
            </w:r>
          </w:p>
        </w:tc>
      </w:tr>
      <w:tr w:rsidR="003A5974" w:rsidRPr="00037F6E" w14:paraId="552ABAEB"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3D5C4E"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20B0C33" w14:textId="77777777" w:rsidR="003A5974" w:rsidRPr="00037F6E" w:rsidRDefault="003A5974" w:rsidP="00745CD0">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2CE00800"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299FAB10"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724E17"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14 880</w:t>
            </w:r>
          </w:p>
        </w:tc>
      </w:tr>
      <w:tr w:rsidR="003A5974" w:rsidRPr="00037F6E" w14:paraId="2DE57515"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351BF3B"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52222FEC" w14:textId="77777777" w:rsidR="003A5974" w:rsidRPr="00037F6E" w:rsidRDefault="003A5974" w:rsidP="00745CD0">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04954362"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46C77D"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4F5FEBCA"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0</w:t>
            </w:r>
          </w:p>
        </w:tc>
      </w:tr>
      <w:tr w:rsidR="003A5974" w:rsidRPr="00037F6E" w14:paraId="758418F7"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C97228"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92D45F8" w14:textId="77777777" w:rsidR="003A5974" w:rsidRPr="00037F6E" w:rsidRDefault="003A5974" w:rsidP="00745CD0">
            <w:pPr>
              <w:spacing w:after="0" w:line="240" w:lineRule="auto"/>
              <w:ind w:firstLineChars="200" w:firstLine="360"/>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xml:space="preserve">От тях за: * </w:t>
            </w:r>
          </w:p>
        </w:tc>
        <w:tc>
          <w:tcPr>
            <w:tcW w:w="960" w:type="dxa"/>
            <w:tcBorders>
              <w:top w:val="nil"/>
              <w:left w:val="nil"/>
              <w:bottom w:val="single" w:sz="8" w:space="0" w:color="auto"/>
              <w:right w:val="single" w:sz="8" w:space="0" w:color="auto"/>
            </w:tcBorders>
            <w:shd w:val="clear" w:color="auto" w:fill="auto"/>
            <w:noWrap/>
            <w:vAlign w:val="center"/>
            <w:hideMark/>
          </w:tcPr>
          <w:p w14:paraId="28E201FA"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172A738"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2685C931"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r>
      <w:tr w:rsidR="003A5974" w:rsidRPr="00037F6E" w14:paraId="2DDDEB12" w14:textId="77777777" w:rsidTr="00745CD0">
        <w:trPr>
          <w:trHeight w:val="114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BEC1F6"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2.1</w:t>
            </w:r>
          </w:p>
        </w:tc>
        <w:tc>
          <w:tcPr>
            <w:tcW w:w="5480" w:type="dxa"/>
            <w:tcBorders>
              <w:top w:val="nil"/>
              <w:left w:val="nil"/>
              <w:bottom w:val="single" w:sz="8" w:space="0" w:color="auto"/>
              <w:right w:val="single" w:sz="8" w:space="0" w:color="auto"/>
            </w:tcBorders>
            <w:shd w:val="clear" w:color="auto" w:fill="auto"/>
            <w:vAlign w:val="bottom"/>
            <w:hideMark/>
          </w:tcPr>
          <w:p w14:paraId="1C23F720"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Проект „Развитие на информационната система и публичния регистър на Комисията за защита на конкуренцията“, изпълняван по Договор № BG05SFOP001-1.014-0001-С01/21.12.2020 г. за предоставяне на безвъзмездна финансова помощ по Оперативна програма „Добро управление”</w:t>
            </w:r>
          </w:p>
        </w:tc>
        <w:tc>
          <w:tcPr>
            <w:tcW w:w="960" w:type="dxa"/>
            <w:tcBorders>
              <w:top w:val="nil"/>
              <w:left w:val="nil"/>
              <w:bottom w:val="single" w:sz="8" w:space="0" w:color="auto"/>
              <w:right w:val="single" w:sz="8" w:space="0" w:color="auto"/>
            </w:tcBorders>
            <w:shd w:val="clear" w:color="auto" w:fill="auto"/>
            <w:noWrap/>
            <w:vAlign w:val="center"/>
            <w:hideMark/>
          </w:tcPr>
          <w:p w14:paraId="2ACC4AA9"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7A590C88"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4542C720"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14 880</w:t>
            </w:r>
          </w:p>
        </w:tc>
      </w:tr>
      <w:tr w:rsidR="003A5974" w:rsidRPr="00037F6E" w14:paraId="1DE008B2"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358FE037" w14:textId="77777777" w:rsidR="003A5974" w:rsidRPr="00037F6E"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14:paraId="6B996D2D" w14:textId="77777777" w:rsidR="003A5974" w:rsidRPr="00037F6E"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14:paraId="77FE5752"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7368EE48"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B8A25FD"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0</w:t>
            </w:r>
          </w:p>
        </w:tc>
      </w:tr>
      <w:tr w:rsidR="003A5974" w:rsidRPr="00037F6E" w14:paraId="75ADB41E"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BA4777"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23547FEA" w14:textId="77777777" w:rsidR="003A5974" w:rsidRPr="00037F6E" w:rsidRDefault="003A5974" w:rsidP="00745CD0">
            <w:pPr>
              <w:spacing w:after="0" w:line="240" w:lineRule="auto"/>
              <w:ind w:firstLineChars="200" w:firstLine="360"/>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BBC0C1F"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829F27A"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C481DD7"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r>
      <w:tr w:rsidR="003A5974" w:rsidRPr="00037F6E" w14:paraId="4635EBD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23E3DC36" w14:textId="77777777" w:rsidR="003A5974" w:rsidRPr="00037F6E"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14:paraId="7783BA16" w14:textId="77777777" w:rsidR="003A5974" w:rsidRPr="00037F6E"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14:paraId="1386E038"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3854927F"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F84D6EC"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0</w:t>
            </w:r>
          </w:p>
        </w:tc>
      </w:tr>
      <w:tr w:rsidR="003A5974" w:rsidRPr="00037F6E" w14:paraId="1777BF65"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A52AE4"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646B1E81" w14:textId="77777777" w:rsidR="003A5974" w:rsidRPr="00037F6E" w:rsidRDefault="003A5974" w:rsidP="00745CD0">
            <w:pPr>
              <w:spacing w:after="0" w:line="240" w:lineRule="auto"/>
              <w:ind w:firstLineChars="200" w:firstLine="360"/>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C7E251C"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E6292BE"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6A44854"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r>
      <w:tr w:rsidR="003A5974" w:rsidRPr="00037F6E" w14:paraId="3913537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7F64959" w14:textId="77777777" w:rsidR="003A5974" w:rsidRPr="00037F6E"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6E68DC5B" w14:textId="77777777" w:rsidR="003A5974" w:rsidRPr="00037F6E"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47DA8705"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257A9D50"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6BF1DF60"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0</w:t>
            </w:r>
          </w:p>
        </w:tc>
      </w:tr>
      <w:tr w:rsidR="003A5974" w:rsidRPr="00037F6E" w14:paraId="06585CCE"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76FF16"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124C190" w14:textId="77777777" w:rsidR="003A5974" w:rsidRPr="00037F6E" w:rsidRDefault="003A5974" w:rsidP="00745CD0">
            <w:pPr>
              <w:spacing w:after="0" w:line="240" w:lineRule="auto"/>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6A229198"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4B385DB8"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4C702C17"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r>
      <w:tr w:rsidR="003A5974" w:rsidRPr="00037F6E" w14:paraId="165F1F9B"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06ECF446" w14:textId="77777777" w:rsidR="003A5974" w:rsidRPr="00037F6E"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4B63E610" w14:textId="77777777" w:rsidR="003A5974" w:rsidRPr="00037F6E"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14:paraId="527DDC56"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5 835 400</w:t>
            </w:r>
          </w:p>
        </w:tc>
        <w:tc>
          <w:tcPr>
            <w:tcW w:w="960" w:type="dxa"/>
            <w:tcBorders>
              <w:top w:val="nil"/>
              <w:left w:val="nil"/>
              <w:bottom w:val="single" w:sz="8" w:space="0" w:color="auto"/>
              <w:right w:val="single" w:sz="8" w:space="0" w:color="auto"/>
            </w:tcBorders>
            <w:shd w:val="clear" w:color="000000" w:fill="E6E6E6"/>
            <w:noWrap/>
            <w:vAlign w:val="center"/>
            <w:hideMark/>
          </w:tcPr>
          <w:p w14:paraId="417AB7FE"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5 745 000</w:t>
            </w:r>
          </w:p>
        </w:tc>
        <w:tc>
          <w:tcPr>
            <w:tcW w:w="960" w:type="dxa"/>
            <w:tcBorders>
              <w:top w:val="nil"/>
              <w:left w:val="nil"/>
              <w:bottom w:val="single" w:sz="8" w:space="0" w:color="auto"/>
              <w:right w:val="single" w:sz="8" w:space="0" w:color="auto"/>
            </w:tcBorders>
            <w:shd w:val="clear" w:color="000000" w:fill="E6E6E6"/>
            <w:noWrap/>
            <w:vAlign w:val="center"/>
            <w:hideMark/>
          </w:tcPr>
          <w:p w14:paraId="1BF16291"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2 378 864</w:t>
            </w:r>
          </w:p>
        </w:tc>
      </w:tr>
      <w:tr w:rsidR="003A5974" w:rsidRPr="00037F6E" w14:paraId="5E5C7479"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A4C495C"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BA73646" w14:textId="77777777" w:rsidR="003A5974" w:rsidRPr="00037F6E" w:rsidRDefault="003A5974" w:rsidP="00745CD0">
            <w:pPr>
              <w:spacing w:after="0" w:line="240" w:lineRule="auto"/>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18D9EBD5"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B38FA08"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3DCF2D3"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r>
      <w:tr w:rsidR="003A5974" w:rsidRPr="00037F6E" w14:paraId="69C92BC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1BED2E69" w14:textId="77777777" w:rsidR="003A5974" w:rsidRPr="00037F6E"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751A2D8F" w14:textId="77777777" w:rsidR="003A5974" w:rsidRPr="00037F6E"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0852C8BB"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5 835 400</w:t>
            </w:r>
          </w:p>
        </w:tc>
        <w:tc>
          <w:tcPr>
            <w:tcW w:w="960" w:type="dxa"/>
            <w:tcBorders>
              <w:top w:val="nil"/>
              <w:left w:val="nil"/>
              <w:bottom w:val="single" w:sz="8" w:space="0" w:color="auto"/>
              <w:right w:val="single" w:sz="8" w:space="0" w:color="auto"/>
            </w:tcBorders>
            <w:shd w:val="clear" w:color="000000" w:fill="E6E6E6"/>
            <w:noWrap/>
            <w:vAlign w:val="center"/>
            <w:hideMark/>
          </w:tcPr>
          <w:p w14:paraId="6AEB521F"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5 745 000</w:t>
            </w:r>
          </w:p>
        </w:tc>
        <w:tc>
          <w:tcPr>
            <w:tcW w:w="960" w:type="dxa"/>
            <w:tcBorders>
              <w:top w:val="nil"/>
              <w:left w:val="nil"/>
              <w:bottom w:val="single" w:sz="8" w:space="0" w:color="auto"/>
              <w:right w:val="single" w:sz="8" w:space="0" w:color="auto"/>
            </w:tcBorders>
            <w:shd w:val="clear" w:color="000000" w:fill="E6E6E6"/>
            <w:noWrap/>
            <w:vAlign w:val="center"/>
            <w:hideMark/>
          </w:tcPr>
          <w:p w14:paraId="60BA6532" w14:textId="77777777" w:rsidR="003A5974" w:rsidRPr="00037F6E"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037F6E">
              <w:rPr>
                <w:rFonts w:ascii="Times New Roman" w:eastAsia="Times New Roman" w:hAnsi="Times New Roman" w:cs="Times New Roman"/>
                <w:b/>
                <w:bCs/>
                <w:color w:val="000000" w:themeColor="text1"/>
                <w:sz w:val="18"/>
                <w:szCs w:val="18"/>
                <w:lang w:eastAsia="bg-BG"/>
              </w:rPr>
              <w:t>2 393 744</w:t>
            </w:r>
          </w:p>
        </w:tc>
      </w:tr>
      <w:tr w:rsidR="003A5974" w:rsidRPr="00037F6E" w14:paraId="66E7010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A10107"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6CB148ED" w14:textId="77777777" w:rsidR="003A5974" w:rsidRPr="00037F6E" w:rsidRDefault="003A5974" w:rsidP="00745CD0">
            <w:pPr>
              <w:spacing w:after="0" w:line="240" w:lineRule="auto"/>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68478EB3"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1C3A6ABB"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081D4B86"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101</w:t>
            </w:r>
          </w:p>
        </w:tc>
      </w:tr>
      <w:tr w:rsidR="003A5974" w:rsidRPr="00037F6E" w14:paraId="75E2824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1EA5CF" w14:textId="77777777" w:rsidR="003A5974" w:rsidRPr="00037F6E"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DCBC83E" w14:textId="77777777" w:rsidR="003A5974" w:rsidRPr="00037F6E" w:rsidRDefault="003A5974" w:rsidP="00745CD0">
            <w:pPr>
              <w:spacing w:after="0" w:line="240" w:lineRule="auto"/>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0DCDEEC2"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304D423F"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1EF34674" w14:textId="77777777" w:rsidR="003A5974" w:rsidRPr="00037F6E"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037F6E">
              <w:rPr>
                <w:rFonts w:ascii="Times New Roman" w:eastAsia="Times New Roman" w:hAnsi="Times New Roman" w:cs="Times New Roman"/>
                <w:color w:val="000000" w:themeColor="text1"/>
                <w:sz w:val="18"/>
                <w:szCs w:val="18"/>
                <w:lang w:eastAsia="bg-BG"/>
              </w:rPr>
              <w:t>5</w:t>
            </w:r>
          </w:p>
        </w:tc>
      </w:tr>
    </w:tbl>
    <w:p w14:paraId="14F8F17D" w14:textId="37A12FE1" w:rsidR="00903DBB" w:rsidRPr="00037F6E" w:rsidRDefault="00903DBB" w:rsidP="00500DD6">
      <w:pPr>
        <w:spacing w:before="120" w:after="120"/>
        <w:jc w:val="both"/>
        <w:rPr>
          <w:rFonts w:ascii="Times New Roman" w:hAnsi="Times New Roman" w:cs="Times New Roman"/>
          <w:b/>
          <w:i/>
          <w:color w:val="000000" w:themeColor="text1"/>
          <w:sz w:val="24"/>
          <w:szCs w:val="24"/>
        </w:rPr>
      </w:pPr>
    </w:p>
    <w:p w14:paraId="3DB6A481" w14:textId="737280B6" w:rsidR="00037F6E" w:rsidRDefault="00037F6E" w:rsidP="00500DD6">
      <w:pPr>
        <w:spacing w:before="120" w:after="120"/>
        <w:jc w:val="both"/>
        <w:rPr>
          <w:rFonts w:ascii="Times New Roman" w:hAnsi="Times New Roman" w:cs="Times New Roman"/>
          <w:b/>
          <w:i/>
          <w:sz w:val="24"/>
          <w:szCs w:val="24"/>
        </w:rPr>
      </w:pPr>
    </w:p>
    <w:p w14:paraId="0AC0B2C4" w14:textId="77777777" w:rsidR="00037F6E" w:rsidRDefault="00037F6E" w:rsidP="00500DD6">
      <w:pPr>
        <w:spacing w:before="120" w:after="120"/>
        <w:jc w:val="both"/>
        <w:rPr>
          <w:rFonts w:ascii="Times New Roman" w:hAnsi="Times New Roman" w:cs="Times New Roman"/>
          <w:b/>
          <w:i/>
          <w:sz w:val="24"/>
          <w:szCs w:val="24"/>
        </w:rPr>
      </w:pPr>
    </w:p>
    <w:p w14:paraId="0D7F25A6" w14:textId="1CE52A90" w:rsidR="00500DD6" w:rsidRPr="00D11963" w:rsidRDefault="00747418" w:rsidP="00500DD6">
      <w:pPr>
        <w:spacing w:before="120" w:after="120"/>
        <w:jc w:val="both"/>
        <w:rPr>
          <w:rFonts w:ascii="Times New Roman" w:hAnsi="Times New Roman" w:cs="Times New Roman"/>
          <w:b/>
          <w:i/>
          <w:sz w:val="24"/>
          <w:szCs w:val="24"/>
        </w:rPr>
      </w:pPr>
      <w:r w:rsidRPr="00D11963">
        <w:rPr>
          <w:rFonts w:ascii="Times New Roman" w:hAnsi="Times New Roman" w:cs="Times New Roman"/>
          <w:b/>
          <w:i/>
          <w:sz w:val="24"/>
          <w:szCs w:val="24"/>
        </w:rPr>
        <w:t>д</w:t>
      </w:r>
      <w:r w:rsidR="00A37AE7" w:rsidRPr="00D11963">
        <w:rPr>
          <w:rFonts w:ascii="Times New Roman" w:hAnsi="Times New Roman" w:cs="Times New Roman"/>
          <w:b/>
          <w:i/>
          <w:sz w:val="24"/>
          <w:szCs w:val="24"/>
        </w:rPr>
        <w:t xml:space="preserve">) </w:t>
      </w:r>
      <w:r w:rsidR="00500DD6" w:rsidRPr="00D11963">
        <w:rPr>
          <w:rFonts w:ascii="Times New Roman" w:hAnsi="Times New Roman" w:cs="Times New Roman"/>
          <w:b/>
          <w:i/>
          <w:sz w:val="24"/>
          <w:szCs w:val="24"/>
        </w:rPr>
        <w:t>Отговорност за изпълнението на програмата</w:t>
      </w:r>
    </w:p>
    <w:p w14:paraId="61D41A22" w14:textId="77777777" w:rsidR="00500DD6" w:rsidRPr="00D11963" w:rsidRDefault="00500DD6" w:rsidP="001F5BDC">
      <w:pPr>
        <w:pStyle w:val="ListParagraph"/>
        <w:numPr>
          <w:ilvl w:val="0"/>
          <w:numId w:val="5"/>
        </w:numPr>
        <w:ind w:left="426" w:firstLine="0"/>
        <w:contextualSpacing/>
        <w:jc w:val="both"/>
        <w:rPr>
          <w:rFonts w:ascii="Times New Roman" w:hAnsi="Times New Roman" w:cs="Times New Roman"/>
        </w:rPr>
      </w:pPr>
      <w:r w:rsidRPr="00D11963">
        <w:rPr>
          <w:rFonts w:ascii="Times New Roman" w:hAnsi="Times New Roman" w:cs="Times New Roman"/>
        </w:rPr>
        <w:t>Председателят на Комисията, като представляващ цялостната дейност на КЗК;</w:t>
      </w:r>
    </w:p>
    <w:p w14:paraId="6A6FD8BE" w14:textId="68B667B3" w:rsidR="00500DD6" w:rsidRDefault="00607174" w:rsidP="001F5BDC">
      <w:pPr>
        <w:pStyle w:val="ListParagraph"/>
        <w:numPr>
          <w:ilvl w:val="0"/>
          <w:numId w:val="5"/>
        </w:numPr>
        <w:ind w:left="426" w:firstLine="0"/>
        <w:contextualSpacing/>
        <w:jc w:val="both"/>
        <w:rPr>
          <w:rFonts w:ascii="Times New Roman" w:hAnsi="Times New Roman" w:cs="Times New Roman"/>
        </w:rPr>
      </w:pPr>
      <w:r w:rsidRPr="00D11963">
        <w:rPr>
          <w:rFonts w:ascii="Times New Roman" w:hAnsi="Times New Roman" w:cs="Times New Roman"/>
        </w:rPr>
        <w:t>Ресорните директори на д</w:t>
      </w:r>
      <w:r w:rsidR="00500DD6" w:rsidRPr="00D11963">
        <w:rPr>
          <w:rFonts w:ascii="Times New Roman" w:hAnsi="Times New Roman" w:cs="Times New Roman"/>
        </w:rPr>
        <w:t>ирекции, като отговорни по конкретните задачи.</w:t>
      </w:r>
    </w:p>
    <w:p w14:paraId="38B53CBB" w14:textId="1B279AA3" w:rsidR="00124BD0" w:rsidRDefault="00124BD0" w:rsidP="00124BD0">
      <w:pPr>
        <w:contextualSpacing/>
        <w:jc w:val="both"/>
        <w:rPr>
          <w:rFonts w:ascii="Times New Roman" w:hAnsi="Times New Roman" w:cs="Times New Roman"/>
        </w:rPr>
      </w:pPr>
    </w:p>
    <w:p w14:paraId="59641D67" w14:textId="7F21C226" w:rsidR="00124BD0" w:rsidRDefault="00124BD0" w:rsidP="00124BD0">
      <w:pPr>
        <w:contextualSpacing/>
        <w:jc w:val="both"/>
        <w:rPr>
          <w:rFonts w:ascii="Times New Roman" w:hAnsi="Times New Roman" w:cs="Times New Roman"/>
        </w:rPr>
      </w:pPr>
    </w:p>
    <w:p w14:paraId="4D2235AC" w14:textId="77777777" w:rsidR="003A5974" w:rsidRDefault="003A5974" w:rsidP="00124BD0">
      <w:pPr>
        <w:contextualSpacing/>
        <w:jc w:val="both"/>
        <w:rPr>
          <w:rFonts w:ascii="Times New Roman" w:hAnsi="Times New Roman" w:cs="Times New Roman"/>
        </w:rPr>
      </w:pPr>
      <w:bookmarkStart w:id="0" w:name="_GoBack"/>
      <w:bookmarkEnd w:id="0"/>
    </w:p>
    <w:sectPr w:rsidR="003A5974" w:rsidSect="009A56EE">
      <w:pgSz w:w="11906" w:h="16838"/>
      <w:pgMar w:top="1276"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2316B" w14:textId="77777777" w:rsidR="00512745" w:rsidRDefault="00512745" w:rsidP="00474957">
      <w:pPr>
        <w:spacing w:after="0" w:line="240" w:lineRule="auto"/>
      </w:pPr>
      <w:r>
        <w:separator/>
      </w:r>
    </w:p>
  </w:endnote>
  <w:endnote w:type="continuationSeparator" w:id="0">
    <w:p w14:paraId="42F39800" w14:textId="77777777" w:rsidR="00512745" w:rsidRDefault="00512745"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14:paraId="28C30AC0" w14:textId="2CD02FAB" w:rsidR="00C44E71" w:rsidRDefault="00C44E71">
        <w:pPr>
          <w:pStyle w:val="Footer"/>
          <w:jc w:val="center"/>
        </w:pPr>
        <w:r>
          <w:fldChar w:fldCharType="begin"/>
        </w:r>
        <w:r>
          <w:instrText xml:space="preserve"> PAGE   \* MERGEFORMAT </w:instrText>
        </w:r>
        <w:r>
          <w:fldChar w:fldCharType="separate"/>
        </w:r>
        <w:r w:rsidR="00183517">
          <w:rPr>
            <w:noProof/>
          </w:rPr>
          <w:t>30</w:t>
        </w:r>
        <w:r>
          <w:rPr>
            <w:noProof/>
          </w:rPr>
          <w:fldChar w:fldCharType="end"/>
        </w:r>
      </w:p>
    </w:sdtContent>
  </w:sdt>
  <w:p w14:paraId="5D802138" w14:textId="77777777" w:rsidR="00C44E71" w:rsidRDefault="00C44E71">
    <w:pPr>
      <w:pStyle w:val="Footer"/>
    </w:pPr>
  </w:p>
  <w:p w14:paraId="4DF1D029" w14:textId="77777777" w:rsidR="00C44E71" w:rsidRDefault="00C44E7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BF1E3" w14:textId="77777777" w:rsidR="00512745" w:rsidRDefault="00512745" w:rsidP="00474957">
      <w:pPr>
        <w:spacing w:after="0" w:line="240" w:lineRule="auto"/>
      </w:pPr>
      <w:r>
        <w:separator/>
      </w:r>
    </w:p>
  </w:footnote>
  <w:footnote w:type="continuationSeparator" w:id="0">
    <w:p w14:paraId="720EAB8E" w14:textId="77777777" w:rsidR="00512745" w:rsidRDefault="00512745" w:rsidP="00474957">
      <w:pPr>
        <w:spacing w:after="0" w:line="240" w:lineRule="auto"/>
      </w:pPr>
      <w:r>
        <w:continuationSeparator/>
      </w:r>
    </w:p>
  </w:footnote>
  <w:footnote w:id="1">
    <w:p w14:paraId="77EB2F5E" w14:textId="77777777" w:rsidR="00C44E71" w:rsidRPr="008C66EE" w:rsidRDefault="00C44E71" w:rsidP="002052FC">
      <w:pPr>
        <w:pStyle w:val="FootnoteText"/>
        <w:jc w:val="both"/>
      </w:pPr>
      <w:r w:rsidRPr="008C66EE">
        <w:rPr>
          <w:rStyle w:val="FootnoteReference"/>
        </w:rPr>
        <w:footnoteRef/>
      </w:r>
      <w:r w:rsidRPr="008C66EE">
        <w:t xml:space="preserve"> </w:t>
      </w:r>
      <w:r>
        <w:t>Производството</w:t>
      </w:r>
      <w:r w:rsidRPr="008C66EE">
        <w:t xml:space="preserve"> е образувано и по чл. 21 от ЗЗК и/или чл. 102 от ДФЕС, поради което в настоящия отчет същото е включено и в общия брой </w:t>
      </w:r>
      <w:r>
        <w:t xml:space="preserve">производства </w:t>
      </w:r>
      <w:r w:rsidRPr="008C66EE">
        <w:t>по чл. 21 от ЗЗК.</w:t>
      </w:r>
    </w:p>
  </w:footnote>
  <w:footnote w:id="2">
    <w:p w14:paraId="14852708" w14:textId="77777777" w:rsidR="00C44E71" w:rsidRDefault="00C44E71" w:rsidP="002052FC">
      <w:pPr>
        <w:pStyle w:val="FootnoteText"/>
      </w:pPr>
      <w:r>
        <w:rPr>
          <w:rStyle w:val="FootnoteReference"/>
        </w:rPr>
        <w:footnoteRef/>
      </w:r>
      <w:r>
        <w:t xml:space="preserve"> Решението </w:t>
      </w:r>
      <w:r w:rsidRPr="00981F19">
        <w:t xml:space="preserve">е </w:t>
      </w:r>
      <w:r>
        <w:t>постановено</w:t>
      </w:r>
      <w:r w:rsidRPr="00981F19">
        <w:t xml:space="preserve"> по чл. 15 от ЗЗК и/или 101 и </w:t>
      </w:r>
      <w:r>
        <w:t xml:space="preserve">по чл. 21 от ЗЗК и/или </w:t>
      </w:r>
      <w:r w:rsidRPr="00981F19">
        <w:t xml:space="preserve">чл. 102 от ДФЕС, поради което в настоящия отчет същото е </w:t>
      </w:r>
      <w:r>
        <w:t>включено и в общия брой решения</w:t>
      </w:r>
      <w:r w:rsidRPr="00981F19">
        <w:t xml:space="preserve"> </w:t>
      </w:r>
      <w:r>
        <w:t>по Глава Четвърта от ЗЗК</w:t>
      </w:r>
      <w:r w:rsidRPr="00981F19">
        <w:t>.</w:t>
      </w:r>
    </w:p>
  </w:footnote>
  <w:footnote w:id="3">
    <w:p w14:paraId="53371760" w14:textId="77777777" w:rsidR="00C44E71" w:rsidRDefault="00C44E71" w:rsidP="002052FC">
      <w:pPr>
        <w:pStyle w:val="FootnoteText"/>
        <w:jc w:val="both"/>
      </w:pPr>
      <w:r>
        <w:rPr>
          <w:rStyle w:val="FootnoteReference"/>
        </w:rPr>
        <w:footnoteRef/>
      </w:r>
      <w:r>
        <w:t xml:space="preserve"> Производството</w:t>
      </w:r>
      <w:r w:rsidRPr="008C66EE">
        <w:t xml:space="preserve"> е образувано </w:t>
      </w:r>
      <w:r>
        <w:t>и по чл. 15</w:t>
      </w:r>
      <w:r w:rsidRPr="008C66EE">
        <w:t xml:space="preserve"> от ЗЗК и/или </w:t>
      </w:r>
      <w:r>
        <w:t xml:space="preserve">101 и </w:t>
      </w:r>
      <w:r w:rsidRPr="008C66EE">
        <w:t xml:space="preserve">чл. 102 от ДФЕС, поради което в настоящия отчет същото е включено и в общия брой </w:t>
      </w:r>
      <w:r>
        <w:t>производства</w:t>
      </w:r>
      <w:r w:rsidRPr="008C66EE">
        <w:t xml:space="preserve"> по чл. 15 от ЗЗК.</w:t>
      </w:r>
    </w:p>
  </w:footnote>
  <w:footnote w:id="4">
    <w:p w14:paraId="0388A3EE" w14:textId="77777777" w:rsidR="00C44E71" w:rsidRDefault="00C44E71" w:rsidP="002052FC">
      <w:pPr>
        <w:pStyle w:val="FootnoteText"/>
      </w:pPr>
      <w:r>
        <w:rPr>
          <w:rStyle w:val="FootnoteReference"/>
        </w:rPr>
        <w:footnoteRef/>
      </w:r>
      <w:r>
        <w:t xml:space="preserve"> </w:t>
      </w:r>
      <w:r w:rsidRPr="00981F19">
        <w:t>Решението е постановено по чл. 15 от ЗЗК и/или 101 и по чл. 21 от ЗЗК и/или чл. 102 от ДФЕС, поради което в настоящия отчет същото е включено и в общия брой решения по Глава</w:t>
      </w:r>
      <w:r>
        <w:t xml:space="preserve"> трета от ЗЗК.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7229"/>
    <w:multiLevelType w:val="hybridMultilevel"/>
    <w:tmpl w:val="7884F0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D83F4A"/>
    <w:multiLevelType w:val="hybridMultilevel"/>
    <w:tmpl w:val="51F0B91A"/>
    <w:lvl w:ilvl="0" w:tplc="E90CF7E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4" w15:restartNumberingAfterBreak="0">
    <w:nsid w:val="1B59697F"/>
    <w:multiLevelType w:val="hybridMultilevel"/>
    <w:tmpl w:val="CCD21B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14B7084"/>
    <w:multiLevelType w:val="hybridMultilevel"/>
    <w:tmpl w:val="70DC408C"/>
    <w:lvl w:ilvl="0" w:tplc="38B0073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7" w15:restartNumberingAfterBreak="0">
    <w:nsid w:val="2F5518CB"/>
    <w:multiLevelType w:val="hybridMultilevel"/>
    <w:tmpl w:val="6C240E72"/>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15:restartNumberingAfterBreak="0">
    <w:nsid w:val="30FE35CD"/>
    <w:multiLevelType w:val="hybridMultilevel"/>
    <w:tmpl w:val="33720C34"/>
    <w:lvl w:ilvl="0" w:tplc="AEAC6D8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4414E9C"/>
    <w:multiLevelType w:val="hybridMultilevel"/>
    <w:tmpl w:val="23863298"/>
    <w:lvl w:ilvl="0" w:tplc="7712502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1"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3"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14"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3604F4A"/>
    <w:multiLevelType w:val="hybridMultilevel"/>
    <w:tmpl w:val="69B2576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6"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7" w15:restartNumberingAfterBreak="0">
    <w:nsid w:val="59C76019"/>
    <w:multiLevelType w:val="hybridMultilevel"/>
    <w:tmpl w:val="BD54E5C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F08673D"/>
    <w:multiLevelType w:val="hybridMultilevel"/>
    <w:tmpl w:val="CD42F5D0"/>
    <w:lvl w:ilvl="0" w:tplc="862CE544">
      <w:start w:val="3"/>
      <w:numFmt w:val="upperRoman"/>
      <w:lvlText w:val="%1."/>
      <w:lvlJc w:val="left"/>
      <w:pPr>
        <w:ind w:left="1428"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326401A"/>
    <w:multiLevelType w:val="hybridMultilevel"/>
    <w:tmpl w:val="E4AC460C"/>
    <w:lvl w:ilvl="0" w:tplc="F75416AA">
      <w:numFmt w:val="bullet"/>
      <w:lvlText w:val=""/>
      <w:lvlJc w:val="left"/>
      <w:pPr>
        <w:ind w:left="720" w:hanging="360"/>
      </w:pPr>
      <w:rPr>
        <w:rFonts w:ascii="Symbol" w:eastAsia="Calibri" w:hAnsi="Symbol"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22"/>
  </w:num>
  <w:num w:numId="4">
    <w:abstractNumId w:val="10"/>
  </w:num>
  <w:num w:numId="5">
    <w:abstractNumId w:val="6"/>
  </w:num>
  <w:num w:numId="6">
    <w:abstractNumId w:val="0"/>
  </w:num>
  <w:num w:numId="7">
    <w:abstractNumId w:val="12"/>
  </w:num>
  <w:num w:numId="8">
    <w:abstractNumId w:val="13"/>
  </w:num>
  <w:num w:numId="9">
    <w:abstractNumId w:val="15"/>
  </w:num>
  <w:num w:numId="10">
    <w:abstractNumId w:val="18"/>
  </w:num>
  <w:num w:numId="11">
    <w:abstractNumId w:val="20"/>
  </w:num>
  <w:num w:numId="12">
    <w:abstractNumId w:val="4"/>
  </w:num>
  <w:num w:numId="13">
    <w:abstractNumId w:val="1"/>
  </w:num>
  <w:num w:numId="14">
    <w:abstractNumId w:val="14"/>
  </w:num>
  <w:num w:numId="15">
    <w:abstractNumId w:val="8"/>
  </w:num>
  <w:num w:numId="16">
    <w:abstractNumId w:val="11"/>
  </w:num>
  <w:num w:numId="17">
    <w:abstractNumId w:val="7"/>
  </w:num>
  <w:num w:numId="18">
    <w:abstractNumId w:val="17"/>
  </w:num>
  <w:num w:numId="19">
    <w:abstractNumId w:val="5"/>
  </w:num>
  <w:num w:numId="20">
    <w:abstractNumId w:val="9"/>
  </w:num>
  <w:num w:numId="21">
    <w:abstractNumId w:val="19"/>
  </w:num>
  <w:num w:numId="22">
    <w:abstractNumId w:val="21"/>
  </w:num>
  <w:num w:numId="2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94"/>
    <w:rsid w:val="00001740"/>
    <w:rsid w:val="00012B0D"/>
    <w:rsid w:val="000156D2"/>
    <w:rsid w:val="0002357D"/>
    <w:rsid w:val="00023E90"/>
    <w:rsid w:val="0002436A"/>
    <w:rsid w:val="00030F08"/>
    <w:rsid w:val="00037F6E"/>
    <w:rsid w:val="00044621"/>
    <w:rsid w:val="000461A0"/>
    <w:rsid w:val="00046EF2"/>
    <w:rsid w:val="000478EB"/>
    <w:rsid w:val="00052F99"/>
    <w:rsid w:val="0005793B"/>
    <w:rsid w:val="00070E4E"/>
    <w:rsid w:val="000756CE"/>
    <w:rsid w:val="00086F44"/>
    <w:rsid w:val="00094591"/>
    <w:rsid w:val="0009538D"/>
    <w:rsid w:val="0009576F"/>
    <w:rsid w:val="000B2527"/>
    <w:rsid w:val="000B43CE"/>
    <w:rsid w:val="000B76E0"/>
    <w:rsid w:val="000C11E5"/>
    <w:rsid w:val="000C658C"/>
    <w:rsid w:val="000C7960"/>
    <w:rsid w:val="000D7676"/>
    <w:rsid w:val="000E555E"/>
    <w:rsid w:val="000F147F"/>
    <w:rsid w:val="000F69DC"/>
    <w:rsid w:val="000F6FC8"/>
    <w:rsid w:val="00122AD4"/>
    <w:rsid w:val="00124BD0"/>
    <w:rsid w:val="001257B1"/>
    <w:rsid w:val="0012599D"/>
    <w:rsid w:val="00132E43"/>
    <w:rsid w:val="001411A6"/>
    <w:rsid w:val="00142356"/>
    <w:rsid w:val="00150B69"/>
    <w:rsid w:val="00152716"/>
    <w:rsid w:val="00154020"/>
    <w:rsid w:val="00171739"/>
    <w:rsid w:val="00177A51"/>
    <w:rsid w:val="00183517"/>
    <w:rsid w:val="00191255"/>
    <w:rsid w:val="001B434A"/>
    <w:rsid w:val="001C0DB2"/>
    <w:rsid w:val="001C2218"/>
    <w:rsid w:val="001D21C3"/>
    <w:rsid w:val="001D7F08"/>
    <w:rsid w:val="001E1750"/>
    <w:rsid w:val="001F1513"/>
    <w:rsid w:val="001F5BDC"/>
    <w:rsid w:val="001F65BE"/>
    <w:rsid w:val="002018D7"/>
    <w:rsid w:val="002036C0"/>
    <w:rsid w:val="002052FC"/>
    <w:rsid w:val="00215A90"/>
    <w:rsid w:val="00222918"/>
    <w:rsid w:val="00244154"/>
    <w:rsid w:val="00246C54"/>
    <w:rsid w:val="0025407A"/>
    <w:rsid w:val="0026014B"/>
    <w:rsid w:val="00277AD5"/>
    <w:rsid w:val="00280EAE"/>
    <w:rsid w:val="00281B05"/>
    <w:rsid w:val="002838B1"/>
    <w:rsid w:val="00285BB6"/>
    <w:rsid w:val="002A54D0"/>
    <w:rsid w:val="002A7A8A"/>
    <w:rsid w:val="002B65B3"/>
    <w:rsid w:val="002D6B8A"/>
    <w:rsid w:val="002E05EC"/>
    <w:rsid w:val="002E4EFB"/>
    <w:rsid w:val="00304597"/>
    <w:rsid w:val="003123DF"/>
    <w:rsid w:val="00312B62"/>
    <w:rsid w:val="0031593C"/>
    <w:rsid w:val="00325DF7"/>
    <w:rsid w:val="0032750E"/>
    <w:rsid w:val="003325EE"/>
    <w:rsid w:val="003328B3"/>
    <w:rsid w:val="003369A2"/>
    <w:rsid w:val="00336D56"/>
    <w:rsid w:val="00344ED6"/>
    <w:rsid w:val="00346D57"/>
    <w:rsid w:val="00357E8F"/>
    <w:rsid w:val="00381C17"/>
    <w:rsid w:val="00393703"/>
    <w:rsid w:val="00397CBD"/>
    <w:rsid w:val="003A5204"/>
    <w:rsid w:val="003A5974"/>
    <w:rsid w:val="003A6556"/>
    <w:rsid w:val="003A75CA"/>
    <w:rsid w:val="003B381F"/>
    <w:rsid w:val="003B6917"/>
    <w:rsid w:val="003C5C40"/>
    <w:rsid w:val="003D3355"/>
    <w:rsid w:val="003D58EC"/>
    <w:rsid w:val="003E291C"/>
    <w:rsid w:val="00400197"/>
    <w:rsid w:val="00403818"/>
    <w:rsid w:val="00406D5A"/>
    <w:rsid w:val="00423A1B"/>
    <w:rsid w:val="00425328"/>
    <w:rsid w:val="00437BE2"/>
    <w:rsid w:val="0044285B"/>
    <w:rsid w:val="00447705"/>
    <w:rsid w:val="00451EC5"/>
    <w:rsid w:val="00453212"/>
    <w:rsid w:val="004635A4"/>
    <w:rsid w:val="0046743B"/>
    <w:rsid w:val="0047110E"/>
    <w:rsid w:val="004722EB"/>
    <w:rsid w:val="0047411E"/>
    <w:rsid w:val="00474957"/>
    <w:rsid w:val="00474C0A"/>
    <w:rsid w:val="00475E60"/>
    <w:rsid w:val="0048005A"/>
    <w:rsid w:val="0048344A"/>
    <w:rsid w:val="00485C40"/>
    <w:rsid w:val="0048631D"/>
    <w:rsid w:val="00496987"/>
    <w:rsid w:val="004A3130"/>
    <w:rsid w:val="004C5284"/>
    <w:rsid w:val="004D6F52"/>
    <w:rsid w:val="004D7985"/>
    <w:rsid w:val="004D7D09"/>
    <w:rsid w:val="004E09FD"/>
    <w:rsid w:val="004E1491"/>
    <w:rsid w:val="004E1501"/>
    <w:rsid w:val="004E20AA"/>
    <w:rsid w:val="004F35C7"/>
    <w:rsid w:val="004F38E4"/>
    <w:rsid w:val="00500DD6"/>
    <w:rsid w:val="00512745"/>
    <w:rsid w:val="00523F66"/>
    <w:rsid w:val="0052682A"/>
    <w:rsid w:val="005323E4"/>
    <w:rsid w:val="00533E01"/>
    <w:rsid w:val="005622BE"/>
    <w:rsid w:val="00563629"/>
    <w:rsid w:val="0057002B"/>
    <w:rsid w:val="00570909"/>
    <w:rsid w:val="0057607B"/>
    <w:rsid w:val="00576E21"/>
    <w:rsid w:val="00577BEA"/>
    <w:rsid w:val="00582A39"/>
    <w:rsid w:val="00597D82"/>
    <w:rsid w:val="00597DA2"/>
    <w:rsid w:val="005A4130"/>
    <w:rsid w:val="005A69AA"/>
    <w:rsid w:val="005B1EF5"/>
    <w:rsid w:val="005C62EE"/>
    <w:rsid w:val="00607174"/>
    <w:rsid w:val="0060726E"/>
    <w:rsid w:val="006166FD"/>
    <w:rsid w:val="00620E3E"/>
    <w:rsid w:val="006341C7"/>
    <w:rsid w:val="00634994"/>
    <w:rsid w:val="00645346"/>
    <w:rsid w:val="00646F93"/>
    <w:rsid w:val="00663345"/>
    <w:rsid w:val="006646D4"/>
    <w:rsid w:val="00667C3D"/>
    <w:rsid w:val="00673735"/>
    <w:rsid w:val="00685B3D"/>
    <w:rsid w:val="006A5920"/>
    <w:rsid w:val="006B2D3F"/>
    <w:rsid w:val="006D57E1"/>
    <w:rsid w:val="006E0167"/>
    <w:rsid w:val="006E1FF8"/>
    <w:rsid w:val="006E6EC4"/>
    <w:rsid w:val="006F74F4"/>
    <w:rsid w:val="00704AE0"/>
    <w:rsid w:val="007104DD"/>
    <w:rsid w:val="007130E2"/>
    <w:rsid w:val="00720FA6"/>
    <w:rsid w:val="00745CD0"/>
    <w:rsid w:val="00745D6C"/>
    <w:rsid w:val="00747418"/>
    <w:rsid w:val="00754B8D"/>
    <w:rsid w:val="00755EA9"/>
    <w:rsid w:val="00756023"/>
    <w:rsid w:val="00767A6C"/>
    <w:rsid w:val="00783FB3"/>
    <w:rsid w:val="007879EC"/>
    <w:rsid w:val="007954E2"/>
    <w:rsid w:val="007B28D8"/>
    <w:rsid w:val="007C44A5"/>
    <w:rsid w:val="007D0489"/>
    <w:rsid w:val="007D06DC"/>
    <w:rsid w:val="007E4319"/>
    <w:rsid w:val="00806C0C"/>
    <w:rsid w:val="0081046E"/>
    <w:rsid w:val="00812162"/>
    <w:rsid w:val="00815092"/>
    <w:rsid w:val="008167D8"/>
    <w:rsid w:val="008231AB"/>
    <w:rsid w:val="0083707B"/>
    <w:rsid w:val="008434F0"/>
    <w:rsid w:val="00861564"/>
    <w:rsid w:val="00870A92"/>
    <w:rsid w:val="00877D72"/>
    <w:rsid w:val="0089042D"/>
    <w:rsid w:val="00891043"/>
    <w:rsid w:val="00895A6A"/>
    <w:rsid w:val="00897258"/>
    <w:rsid w:val="008A1E99"/>
    <w:rsid w:val="008A5A19"/>
    <w:rsid w:val="008B0E8B"/>
    <w:rsid w:val="008C4AD2"/>
    <w:rsid w:val="008D2740"/>
    <w:rsid w:val="008F03E4"/>
    <w:rsid w:val="00903DBB"/>
    <w:rsid w:val="00906DA6"/>
    <w:rsid w:val="00907A40"/>
    <w:rsid w:val="00915649"/>
    <w:rsid w:val="00917141"/>
    <w:rsid w:val="009448F9"/>
    <w:rsid w:val="00952704"/>
    <w:rsid w:val="00952874"/>
    <w:rsid w:val="00973E4E"/>
    <w:rsid w:val="00974377"/>
    <w:rsid w:val="0097785F"/>
    <w:rsid w:val="00991909"/>
    <w:rsid w:val="009A56EE"/>
    <w:rsid w:val="009A6C7C"/>
    <w:rsid w:val="009B3A69"/>
    <w:rsid w:val="009B7F2C"/>
    <w:rsid w:val="009B7F5F"/>
    <w:rsid w:val="009C5608"/>
    <w:rsid w:val="009C76CA"/>
    <w:rsid w:val="009D2828"/>
    <w:rsid w:val="009D2DEC"/>
    <w:rsid w:val="009E6D4C"/>
    <w:rsid w:val="00A117B7"/>
    <w:rsid w:val="00A14BE7"/>
    <w:rsid w:val="00A23E4B"/>
    <w:rsid w:val="00A30C6A"/>
    <w:rsid w:val="00A37AE7"/>
    <w:rsid w:val="00A41E63"/>
    <w:rsid w:val="00A44FA4"/>
    <w:rsid w:val="00A52C0C"/>
    <w:rsid w:val="00A611B9"/>
    <w:rsid w:val="00A64AD3"/>
    <w:rsid w:val="00A6713C"/>
    <w:rsid w:val="00A7341E"/>
    <w:rsid w:val="00A773CF"/>
    <w:rsid w:val="00AB3CB6"/>
    <w:rsid w:val="00AD20FF"/>
    <w:rsid w:val="00AE3D92"/>
    <w:rsid w:val="00AE6EA9"/>
    <w:rsid w:val="00AE79AE"/>
    <w:rsid w:val="00B01C49"/>
    <w:rsid w:val="00B148FB"/>
    <w:rsid w:val="00B20862"/>
    <w:rsid w:val="00B20E68"/>
    <w:rsid w:val="00B21545"/>
    <w:rsid w:val="00B21CAC"/>
    <w:rsid w:val="00B46623"/>
    <w:rsid w:val="00B5043B"/>
    <w:rsid w:val="00B539D8"/>
    <w:rsid w:val="00B53F4F"/>
    <w:rsid w:val="00B71C99"/>
    <w:rsid w:val="00B74AE5"/>
    <w:rsid w:val="00B86954"/>
    <w:rsid w:val="00B909A8"/>
    <w:rsid w:val="00B9344B"/>
    <w:rsid w:val="00BA510D"/>
    <w:rsid w:val="00BB3E90"/>
    <w:rsid w:val="00BB7F44"/>
    <w:rsid w:val="00BC0999"/>
    <w:rsid w:val="00BC1016"/>
    <w:rsid w:val="00BC3069"/>
    <w:rsid w:val="00BD08DE"/>
    <w:rsid w:val="00BD0A82"/>
    <w:rsid w:val="00BE4562"/>
    <w:rsid w:val="00C03988"/>
    <w:rsid w:val="00C05DD8"/>
    <w:rsid w:val="00C233D6"/>
    <w:rsid w:val="00C266D3"/>
    <w:rsid w:val="00C34311"/>
    <w:rsid w:val="00C44E71"/>
    <w:rsid w:val="00C46EE8"/>
    <w:rsid w:val="00C612BB"/>
    <w:rsid w:val="00C739AD"/>
    <w:rsid w:val="00C74CEE"/>
    <w:rsid w:val="00C802CE"/>
    <w:rsid w:val="00C827C7"/>
    <w:rsid w:val="00C82F4D"/>
    <w:rsid w:val="00C857C0"/>
    <w:rsid w:val="00CC0D8F"/>
    <w:rsid w:val="00CC3710"/>
    <w:rsid w:val="00CC4C66"/>
    <w:rsid w:val="00CE5CE8"/>
    <w:rsid w:val="00D021A9"/>
    <w:rsid w:val="00D11963"/>
    <w:rsid w:val="00D12772"/>
    <w:rsid w:val="00D12D18"/>
    <w:rsid w:val="00D30C27"/>
    <w:rsid w:val="00D577E0"/>
    <w:rsid w:val="00D67B2D"/>
    <w:rsid w:val="00D7642F"/>
    <w:rsid w:val="00D9647E"/>
    <w:rsid w:val="00D973BC"/>
    <w:rsid w:val="00DA5E02"/>
    <w:rsid w:val="00DB269E"/>
    <w:rsid w:val="00DC1B19"/>
    <w:rsid w:val="00DC44E2"/>
    <w:rsid w:val="00DD47D3"/>
    <w:rsid w:val="00DE204A"/>
    <w:rsid w:val="00E04F8E"/>
    <w:rsid w:val="00E07E25"/>
    <w:rsid w:val="00E11F76"/>
    <w:rsid w:val="00E14F43"/>
    <w:rsid w:val="00E25F37"/>
    <w:rsid w:val="00E30400"/>
    <w:rsid w:val="00E3148D"/>
    <w:rsid w:val="00E3619F"/>
    <w:rsid w:val="00E46A16"/>
    <w:rsid w:val="00E67EED"/>
    <w:rsid w:val="00E706D4"/>
    <w:rsid w:val="00E774EF"/>
    <w:rsid w:val="00E81288"/>
    <w:rsid w:val="00EA24B5"/>
    <w:rsid w:val="00EB7239"/>
    <w:rsid w:val="00ED64C0"/>
    <w:rsid w:val="00EE4B9C"/>
    <w:rsid w:val="00F01722"/>
    <w:rsid w:val="00F435F5"/>
    <w:rsid w:val="00F44549"/>
    <w:rsid w:val="00F60576"/>
    <w:rsid w:val="00F626C2"/>
    <w:rsid w:val="00F645AD"/>
    <w:rsid w:val="00F706BC"/>
    <w:rsid w:val="00F71E67"/>
    <w:rsid w:val="00F77261"/>
    <w:rsid w:val="00F92EA0"/>
    <w:rsid w:val="00F963F0"/>
    <w:rsid w:val="00F9689E"/>
    <w:rsid w:val="00FB45DC"/>
    <w:rsid w:val="00FB7842"/>
    <w:rsid w:val="00FC13B4"/>
    <w:rsid w:val="00FC7FB7"/>
    <w:rsid w:val="00FD51B2"/>
    <w:rsid w:val="00FF3E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F8BD3"/>
  <w15:docId w15:val="{C6A5C9F3-B7DE-4882-BB8D-5FF91C46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basedOn w:val="Normal"/>
    <w:link w:val="FootnoteTextChar"/>
    <w:rsid w:val="00806C0C"/>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806C0C"/>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rsid w:val="00806C0C"/>
    <w:rPr>
      <w:vertAlign w:val="superscript"/>
    </w:rPr>
  </w:style>
  <w:style w:type="paragraph" w:styleId="BalloonText">
    <w:name w:val="Balloon Text"/>
    <w:basedOn w:val="Normal"/>
    <w:link w:val="BalloonTextChar"/>
    <w:uiPriority w:val="99"/>
    <w:semiHidden/>
    <w:unhideWhenUsed/>
    <w:rsid w:val="00E25F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F37"/>
    <w:rPr>
      <w:rFonts w:ascii="Tahoma" w:hAnsi="Tahoma" w:cs="Tahoma"/>
      <w:sz w:val="16"/>
      <w:szCs w:val="16"/>
    </w:rPr>
  </w:style>
  <w:style w:type="character" w:styleId="CommentReference">
    <w:name w:val="annotation reference"/>
    <w:basedOn w:val="DefaultParagraphFont"/>
    <w:uiPriority w:val="99"/>
    <w:semiHidden/>
    <w:unhideWhenUsed/>
    <w:rsid w:val="00E25F37"/>
    <w:rPr>
      <w:sz w:val="16"/>
      <w:szCs w:val="16"/>
    </w:rPr>
  </w:style>
  <w:style w:type="paragraph" w:styleId="CommentText">
    <w:name w:val="annotation text"/>
    <w:basedOn w:val="Normal"/>
    <w:link w:val="CommentTextChar"/>
    <w:uiPriority w:val="99"/>
    <w:semiHidden/>
    <w:unhideWhenUsed/>
    <w:rsid w:val="00E25F37"/>
    <w:pPr>
      <w:spacing w:line="240" w:lineRule="auto"/>
    </w:pPr>
    <w:rPr>
      <w:sz w:val="20"/>
      <w:szCs w:val="20"/>
    </w:rPr>
  </w:style>
  <w:style w:type="character" w:customStyle="1" w:styleId="CommentTextChar">
    <w:name w:val="Comment Text Char"/>
    <w:basedOn w:val="DefaultParagraphFont"/>
    <w:link w:val="CommentText"/>
    <w:uiPriority w:val="99"/>
    <w:semiHidden/>
    <w:rsid w:val="00E25F37"/>
    <w:rPr>
      <w:sz w:val="20"/>
      <w:szCs w:val="20"/>
    </w:rPr>
  </w:style>
  <w:style w:type="paragraph" w:styleId="CommentSubject">
    <w:name w:val="annotation subject"/>
    <w:basedOn w:val="CommentText"/>
    <w:next w:val="CommentText"/>
    <w:link w:val="CommentSubjectChar"/>
    <w:uiPriority w:val="99"/>
    <w:semiHidden/>
    <w:unhideWhenUsed/>
    <w:rsid w:val="00E25F37"/>
    <w:rPr>
      <w:b/>
      <w:bCs/>
    </w:rPr>
  </w:style>
  <w:style w:type="character" w:customStyle="1" w:styleId="CommentSubjectChar">
    <w:name w:val="Comment Subject Char"/>
    <w:basedOn w:val="CommentTextChar"/>
    <w:link w:val="CommentSubject"/>
    <w:uiPriority w:val="99"/>
    <w:semiHidden/>
    <w:rsid w:val="00E25F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APEV&amp;CELEX=32004R0139&amp;Type=201" TargetMode="External"/><Relationship Id="rId5" Type="http://schemas.openxmlformats.org/officeDocument/2006/relationships/webSettings" Target="webSettings.xml"/><Relationship Id="rId10" Type="http://schemas.openxmlformats.org/officeDocument/2006/relationships/hyperlink" Target="apis://Base=APEV&amp;CELEX=32003R0001&amp;Type=201"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EBB2B-C368-42D7-B9D9-663B1C71C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1830</TotalTime>
  <Pages>30</Pages>
  <Words>10915</Words>
  <Characters>62217</Characters>
  <Application>Microsoft Office Word</Application>
  <DocSecurity>0</DocSecurity>
  <Lines>518</Lines>
  <Paragraphs>145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 Станчева</dc:creator>
  <cp:keywords/>
  <dc:description/>
  <cp:lastModifiedBy>Кристина Петрова</cp:lastModifiedBy>
  <cp:revision>211</cp:revision>
  <cp:lastPrinted>2021-03-12T12:00:00Z</cp:lastPrinted>
  <dcterms:created xsi:type="dcterms:W3CDTF">2020-08-12T07:27:00Z</dcterms:created>
  <dcterms:modified xsi:type="dcterms:W3CDTF">2021-08-11T09:10:00Z</dcterms:modified>
</cp:coreProperties>
</file>